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DE511D" w:rsidRDefault="00DE511D">
      <w:pPr>
        <w:widowControl w:val="0"/>
        <w:autoSpaceDE w:val="0"/>
        <w:autoSpaceDN w:val="0"/>
        <w:adjustRightInd w:val="0"/>
        <w:spacing w:after="0" w:line="240" w:lineRule="auto"/>
        <w:jc w:val="both"/>
        <w:outlineLvl w:val="0"/>
        <w:rPr>
          <w:rFonts w:ascii="Calibri" w:hAnsi="Calibri" w:cs="Calibri"/>
        </w:rPr>
      </w:pPr>
    </w:p>
    <w:p w:rsidR="00DE511D" w:rsidRDefault="00DE511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13 июля 2011 г. N 21337</w:t>
      </w:r>
    </w:p>
    <w:p w:rsidR="00DE511D" w:rsidRDefault="00DE51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511D" w:rsidRDefault="00DE511D">
      <w:pPr>
        <w:widowControl w:val="0"/>
        <w:autoSpaceDE w:val="0"/>
        <w:autoSpaceDN w:val="0"/>
        <w:adjustRightInd w:val="0"/>
        <w:spacing w:after="0" w:line="240" w:lineRule="auto"/>
        <w:rPr>
          <w:rFonts w:ascii="Calibri" w:hAnsi="Calibri" w:cs="Calibri"/>
        </w:rPr>
      </w:pPr>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DE511D" w:rsidRDefault="00DE511D">
      <w:pPr>
        <w:widowControl w:val="0"/>
        <w:autoSpaceDE w:val="0"/>
        <w:autoSpaceDN w:val="0"/>
        <w:adjustRightInd w:val="0"/>
        <w:spacing w:after="0" w:line="240" w:lineRule="auto"/>
        <w:jc w:val="center"/>
        <w:rPr>
          <w:rFonts w:ascii="Calibri" w:hAnsi="Calibri" w:cs="Calibri"/>
          <w:b/>
          <w:bCs/>
        </w:rPr>
      </w:pPr>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июня 2011 г. N 154-э/4</w:t>
      </w:r>
    </w:p>
    <w:p w:rsidR="00DE511D" w:rsidRDefault="00DE511D">
      <w:pPr>
        <w:widowControl w:val="0"/>
        <w:autoSpaceDE w:val="0"/>
        <w:autoSpaceDN w:val="0"/>
        <w:adjustRightInd w:val="0"/>
        <w:spacing w:after="0" w:line="240" w:lineRule="auto"/>
        <w:jc w:val="center"/>
        <w:rPr>
          <w:rFonts w:ascii="Calibri" w:hAnsi="Calibri" w:cs="Calibri"/>
          <w:b/>
          <w:bCs/>
        </w:rPr>
      </w:pPr>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СПЕЦИАЛЬНЫХ НАДБАВОК</w:t>
      </w:r>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ТАРИФАМ НА ТРАНСПОРТИРОВКУ ГАЗА </w:t>
      </w:r>
      <w:proofErr w:type="gramStart"/>
      <w:r>
        <w:rPr>
          <w:rFonts w:ascii="Calibri" w:hAnsi="Calibri" w:cs="Calibri"/>
          <w:b/>
          <w:bCs/>
        </w:rPr>
        <w:t>ГАЗОРАСПРЕДЕЛИТЕЛЬНЫМИ</w:t>
      </w:r>
      <w:proofErr w:type="gramEnd"/>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ДЛЯ ФИНАНСИРОВАНИЯ ПРОГРАММ ГАЗИФИКАЦИИ</w:t>
      </w:r>
    </w:p>
    <w:p w:rsidR="00DE511D" w:rsidRDefault="00DE511D">
      <w:pPr>
        <w:widowControl w:val="0"/>
        <w:autoSpaceDE w:val="0"/>
        <w:autoSpaceDN w:val="0"/>
        <w:adjustRightInd w:val="0"/>
        <w:spacing w:after="0" w:line="240" w:lineRule="auto"/>
        <w:jc w:val="center"/>
        <w:rPr>
          <w:rFonts w:ascii="Calibri" w:hAnsi="Calibri" w:cs="Calibri"/>
        </w:rPr>
      </w:pPr>
    </w:p>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E511D" w:rsidRDefault="00DE51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ФСТ России от 12.10.2011 </w:t>
      </w:r>
      <w:hyperlink r:id="rId5" w:history="1">
        <w:r>
          <w:rPr>
            <w:rFonts w:ascii="Calibri" w:hAnsi="Calibri" w:cs="Calibri"/>
            <w:color w:val="0000FF"/>
          </w:rPr>
          <w:t>N 245-э/1</w:t>
        </w:r>
      </w:hyperlink>
      <w:r>
        <w:rPr>
          <w:rFonts w:ascii="Calibri" w:hAnsi="Calibri" w:cs="Calibri"/>
        </w:rPr>
        <w:t>,</w:t>
      </w:r>
      <w:proofErr w:type="gramEnd"/>
    </w:p>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6" w:history="1">
        <w:r>
          <w:rPr>
            <w:rFonts w:ascii="Calibri" w:hAnsi="Calibri" w:cs="Calibri"/>
            <w:color w:val="0000FF"/>
          </w:rPr>
          <w:t>N 244-э/6</w:t>
        </w:r>
      </w:hyperlink>
      <w:r>
        <w:rPr>
          <w:rFonts w:ascii="Calibri" w:hAnsi="Calibri" w:cs="Calibri"/>
        </w:rPr>
        <w:t>)</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31 марта 1999 года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w:t>
      </w:r>
      <w:proofErr w:type="gramEnd"/>
      <w:r>
        <w:rPr>
          <w:rFonts w:ascii="Calibri" w:hAnsi="Calibri" w:cs="Calibri"/>
        </w:rPr>
        <w:t xml:space="preserve"> </w:t>
      </w:r>
      <w:proofErr w:type="gramStart"/>
      <w:r>
        <w:rPr>
          <w:rFonts w:ascii="Calibri" w:hAnsi="Calibri" w:cs="Calibri"/>
        </w:rPr>
        <w:t xml:space="preserve">2008, N 29 (часть I), ст. 3420; 2009, N 1, ст. 17; N 1, ст. 21), </w:t>
      </w:r>
      <w:hyperlink r:id="rId8"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года N 332 (Собрание законодательства Российской Федерации, 2004, N 29, ст. 3049; 2006, N 3, ст. 301; N 23, ст. 2522;</w:t>
      </w:r>
      <w:proofErr w:type="gramEnd"/>
      <w:r>
        <w:rPr>
          <w:rFonts w:ascii="Calibri" w:hAnsi="Calibri" w:cs="Calibri"/>
        </w:rPr>
        <w:t xml:space="preserve"> </w:t>
      </w:r>
      <w:proofErr w:type="gramStart"/>
      <w:r>
        <w:rPr>
          <w:rFonts w:ascii="Calibri" w:hAnsi="Calibri" w:cs="Calibri"/>
        </w:rPr>
        <w:t>N 48, ст. 5032; N 50, ст. 5354; 2007, N 16, ст. 1912; N 25, ст. 3039; N 32, ст. 4145; 2008, N 7, ст. 597; N 17, ст. 1897; N 23, ст. 2719; N 38, ст. 4309; N 46, ст. 5337; 2009, N 1, ст. 142; N 3, ст. 378;</w:t>
      </w:r>
      <w:proofErr w:type="gramEnd"/>
      <w:r>
        <w:rPr>
          <w:rFonts w:ascii="Calibri" w:hAnsi="Calibri" w:cs="Calibri"/>
        </w:rPr>
        <w:t xml:space="preserve"> N 6, ст. 738; N 9, ст. 1119; N 18 (часть II), ст. 2249; N 33, ст. 4086; 2010, N 9, ст. 960; N 13, ст. 1514; N 25, ст. 3169; N 26, ст. 3350, N 30, ст. 4096; N 45, ст. 5851; 2011, N 14, ст. 1935),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мая 2001 года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rPr>
          <w:rFonts w:ascii="Calibri" w:hAnsi="Calibri" w:cs="Calibri"/>
        </w:rPr>
        <w:t>2010, N 49, ст. 6520), а также учитывая итоги рассмотрения данного вопроса на Правлении ФСТ России (протокол от 21 июня 2011 года N 37-э) приказываю:</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9" w:history="1">
        <w:r>
          <w:rPr>
            <w:rFonts w:ascii="Calibri" w:hAnsi="Calibri" w:cs="Calibri"/>
            <w:color w:val="0000FF"/>
          </w:rPr>
          <w:t>Методику</w:t>
        </w:r>
      </w:hyperlink>
      <w:r>
        <w:rPr>
          <w:rFonts w:ascii="Calibri" w:hAnsi="Calibri" w:cs="Calibri"/>
        </w:rPr>
        <w:t xml:space="preserve">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согласно приложению.</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Федеральной службы по тарифам:</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15 августа 2006 года </w:t>
      </w:r>
      <w:hyperlink r:id="rId10" w:history="1">
        <w:r>
          <w:rPr>
            <w:rFonts w:ascii="Calibri" w:hAnsi="Calibri" w:cs="Calibri"/>
            <w:color w:val="0000FF"/>
          </w:rPr>
          <w:t>N 187-э/4</w:t>
        </w:r>
      </w:hyperlink>
      <w:r>
        <w:rPr>
          <w:rFonts w:ascii="Calibri" w:hAnsi="Calibri" w:cs="Calibri"/>
        </w:rPr>
        <w:t xml:space="preserve"> "Об утверждении Методики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(зарегистрировано Минюстом России 27 сентября 2006 года, </w:t>
      </w:r>
      <w:proofErr w:type="gramStart"/>
      <w:r>
        <w:rPr>
          <w:rFonts w:ascii="Calibri" w:hAnsi="Calibri" w:cs="Calibri"/>
        </w:rPr>
        <w:t>регистрационный</w:t>
      </w:r>
      <w:proofErr w:type="gramEnd"/>
      <w:r>
        <w:rPr>
          <w:rFonts w:ascii="Calibri" w:hAnsi="Calibri" w:cs="Calibri"/>
        </w:rPr>
        <w:t xml:space="preserve"> N 8328);</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от 18 ноября 2008 года </w:t>
      </w:r>
      <w:hyperlink r:id="rId11" w:history="1">
        <w:r>
          <w:rPr>
            <w:rFonts w:ascii="Calibri" w:hAnsi="Calibri" w:cs="Calibri"/>
            <w:color w:val="0000FF"/>
          </w:rPr>
          <w:t>N 264-э/5</w:t>
        </w:r>
      </w:hyperlink>
      <w:r>
        <w:rPr>
          <w:rFonts w:ascii="Calibri" w:hAnsi="Calibri" w:cs="Calibri"/>
        </w:rPr>
        <w:t xml:space="preserve"> "О внесении изменений и дополнений в Методику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утвержденную Приказом Федеральной службы по тарифам от 15 августа 2006 г. N 187-э/4" (зарегистрировано Минюстом России 19 декабря 2008 года, регистрационный N 12900);</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от 10 сентября 2010 года </w:t>
      </w:r>
      <w:hyperlink r:id="rId12" w:history="1">
        <w:r>
          <w:rPr>
            <w:rFonts w:ascii="Calibri" w:hAnsi="Calibri" w:cs="Calibri"/>
            <w:color w:val="0000FF"/>
          </w:rPr>
          <w:t>N 225-э/2</w:t>
        </w:r>
      </w:hyperlink>
      <w:r>
        <w:rPr>
          <w:rFonts w:ascii="Calibri" w:hAnsi="Calibri" w:cs="Calibri"/>
        </w:rPr>
        <w:t xml:space="preserve"> "О внесении изменений в Методику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утвержденную Приказом Федеральной службы по тарифам от 15 августа 2006 г. N 187-э/4" (зарегистрировано Минюстом России 14 октября 2010 года, регистрационный N 18729).</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Настоящий Приказ вступает в силу в установленном порядке.</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Приказу </w:t>
      </w:r>
      <w:proofErr w:type="gramStart"/>
      <w:r>
        <w:rPr>
          <w:rFonts w:ascii="Calibri" w:hAnsi="Calibri" w:cs="Calibri"/>
        </w:rPr>
        <w:t>Федеральной</w:t>
      </w:r>
      <w:proofErr w:type="gramEnd"/>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тарифам</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от 21 июня 2011 г. N 154-э/4</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МЕТОДИКА</w:t>
      </w:r>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СПЕЦИАЛЬНЫХ НАДБАВОК</w:t>
      </w:r>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ТАРИФАМ НА ТРАНСПОРТИРОВКУ ГАЗА </w:t>
      </w:r>
      <w:proofErr w:type="gramStart"/>
      <w:r>
        <w:rPr>
          <w:rFonts w:ascii="Calibri" w:hAnsi="Calibri" w:cs="Calibri"/>
          <w:b/>
          <w:bCs/>
        </w:rPr>
        <w:t>ГАЗОРАСПРЕДЕЛИТЕЛЬНЫМИ</w:t>
      </w:r>
      <w:proofErr w:type="gramEnd"/>
    </w:p>
    <w:p w:rsidR="00DE511D" w:rsidRDefault="00DE51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ДЛЯ ФИНАНСИРОВАНИЯ ПРОГРАММ ГАЗИФИКАЦИИ</w:t>
      </w:r>
    </w:p>
    <w:p w:rsidR="00DE511D" w:rsidRDefault="00DE511D">
      <w:pPr>
        <w:widowControl w:val="0"/>
        <w:autoSpaceDE w:val="0"/>
        <w:autoSpaceDN w:val="0"/>
        <w:adjustRightInd w:val="0"/>
        <w:spacing w:after="0" w:line="240" w:lineRule="auto"/>
        <w:jc w:val="center"/>
        <w:rPr>
          <w:rFonts w:ascii="Calibri" w:hAnsi="Calibri" w:cs="Calibri"/>
        </w:rPr>
      </w:pPr>
    </w:p>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E511D" w:rsidRDefault="00DE511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ФСТ России от 12.10.2011 </w:t>
      </w:r>
      <w:hyperlink r:id="rId13" w:history="1">
        <w:r>
          <w:rPr>
            <w:rFonts w:ascii="Calibri" w:hAnsi="Calibri" w:cs="Calibri"/>
            <w:color w:val="0000FF"/>
          </w:rPr>
          <w:t>N 245-э/1</w:t>
        </w:r>
      </w:hyperlink>
      <w:r>
        <w:rPr>
          <w:rFonts w:ascii="Calibri" w:hAnsi="Calibri" w:cs="Calibri"/>
        </w:rPr>
        <w:t>,</w:t>
      </w:r>
      <w:proofErr w:type="gramEnd"/>
    </w:p>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14" w:history="1">
        <w:r>
          <w:rPr>
            <w:rFonts w:ascii="Calibri" w:hAnsi="Calibri" w:cs="Calibri"/>
            <w:color w:val="0000FF"/>
          </w:rPr>
          <w:t>N 244-э/6</w:t>
        </w:r>
      </w:hyperlink>
      <w:r>
        <w:rPr>
          <w:rFonts w:ascii="Calibri" w:hAnsi="Calibri" w:cs="Calibri"/>
        </w:rPr>
        <w:t>)</w:t>
      </w:r>
    </w:p>
    <w:p w:rsidR="00DE511D" w:rsidRDefault="00DE511D">
      <w:pPr>
        <w:widowControl w:val="0"/>
        <w:autoSpaceDE w:val="0"/>
        <w:autoSpaceDN w:val="0"/>
        <w:adjustRightInd w:val="0"/>
        <w:spacing w:after="0" w:line="240" w:lineRule="auto"/>
        <w:jc w:val="center"/>
        <w:rPr>
          <w:rFonts w:ascii="Calibri" w:hAnsi="Calibri" w:cs="Calibri"/>
        </w:rPr>
      </w:pPr>
    </w:p>
    <w:p w:rsidR="00DE511D" w:rsidRDefault="00DE511D">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Общие положения</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Методика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(далее - Методика) разработана во исполнение Федерального </w:t>
      </w:r>
      <w:hyperlink r:id="rId15" w:history="1">
        <w:r>
          <w:rPr>
            <w:rFonts w:ascii="Calibri" w:hAnsi="Calibri" w:cs="Calibri"/>
            <w:color w:val="0000FF"/>
          </w:rPr>
          <w:t>закона</w:t>
        </w:r>
      </w:hyperlink>
      <w:r>
        <w:rPr>
          <w:rFonts w:ascii="Calibri" w:hAnsi="Calibri" w:cs="Calibri"/>
        </w:rP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w:t>
      </w:r>
      <w:proofErr w:type="gramEnd"/>
      <w:r>
        <w:rPr>
          <w:rFonts w:ascii="Calibri" w:hAnsi="Calibri" w:cs="Calibri"/>
        </w:rPr>
        <w:t xml:space="preserve"> 2006, N 6, ст. 636; N 52 (часть I), ст. 5498; 2007, N 27, ст. 3213; 2008, N 29 (часть I), ст. 3420; </w:t>
      </w:r>
      <w:proofErr w:type="gramStart"/>
      <w:r>
        <w:rPr>
          <w:rFonts w:ascii="Calibri" w:hAnsi="Calibri" w:cs="Calibri"/>
        </w:rPr>
        <w:t xml:space="preserve">2009, N 1, ст. 17, ст. 21) и </w:t>
      </w:r>
      <w:hyperlink r:id="rId1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Методика определяет подходы к определению и порядок расчета размера специальных надбавок к тарифам на транспортировку газа газораспределительными организациями (далее - тарифы на транспортировку газа), для финансирования программ газификации жилищно-коммунального хозяйства (далее - специальные надбавки).</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Специальные надбавки устанавливаются к тарифам на транспортировку газа для конечных потребителей. Специальные надбавки не устанавливаются к тарифам на транспортировку газа в транзитном потоке. По решению органов исполнительной власти субъектов Российской Федерации специальные надбавки также могут не устанавливаться к тарифам на транспортировку газа для населения.</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специальной надбавки определяется в рублях и копейках без учета налога на добавленную стоимость на 1000 м3 транспортируемого газа, приведенную к следующим стандартным условиям:</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температура </w:t>
      </w:r>
      <w:proofErr w:type="spellStart"/>
      <w:r>
        <w:rPr>
          <w:rFonts w:ascii="Calibri" w:hAnsi="Calibri" w:cs="Calibri"/>
        </w:rPr>
        <w:t>t</w:t>
      </w:r>
      <w:proofErr w:type="spellEnd"/>
      <w:r>
        <w:rPr>
          <w:rFonts w:ascii="Calibri" w:hAnsi="Calibri" w:cs="Calibri"/>
        </w:rPr>
        <w:t xml:space="preserve"> = 20 °C;</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давление </w:t>
      </w:r>
      <w:proofErr w:type="spellStart"/>
      <w:r>
        <w:rPr>
          <w:rFonts w:ascii="Calibri" w:hAnsi="Calibri" w:cs="Calibri"/>
        </w:rPr>
        <w:t>p</w:t>
      </w:r>
      <w:proofErr w:type="spellEnd"/>
      <w:r>
        <w:rPr>
          <w:rFonts w:ascii="Calibri" w:hAnsi="Calibri" w:cs="Calibri"/>
        </w:rPr>
        <w:t xml:space="preserve"> = 760 </w:t>
      </w:r>
      <w:proofErr w:type="spellStart"/>
      <w:r>
        <w:rPr>
          <w:rFonts w:ascii="Calibri" w:hAnsi="Calibri" w:cs="Calibri"/>
        </w:rPr>
        <w:t>мм</w:t>
      </w:r>
      <w:proofErr w:type="gramStart"/>
      <w:r>
        <w:rPr>
          <w:rFonts w:ascii="Calibri" w:hAnsi="Calibri" w:cs="Calibri"/>
        </w:rPr>
        <w:t>.р</w:t>
      </w:r>
      <w:proofErr w:type="gramEnd"/>
      <w:r>
        <w:rPr>
          <w:rFonts w:ascii="Calibri" w:hAnsi="Calibri" w:cs="Calibri"/>
        </w:rPr>
        <w:t>т.ст</w:t>
      </w:r>
      <w:proofErr w:type="spellEnd"/>
      <w:r>
        <w:rPr>
          <w:rFonts w:ascii="Calibri" w:hAnsi="Calibri" w:cs="Calibri"/>
        </w:rPr>
        <w:t>.;</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влажность = 0%.</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полученные в результате применения специальных надбавок, имеют целевой характер и направляются на финансирование работ, предусмотренных программами газификации </w:t>
      </w:r>
      <w:r>
        <w:rPr>
          <w:rFonts w:ascii="Calibri" w:hAnsi="Calibri" w:cs="Calibri"/>
        </w:rPr>
        <w:lastRenderedPageBreak/>
        <w:t>жилищно-коммунального хозяйства субъектов Российской Федерации (далее - программы газификации).</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II. Определение размера специальных надбавок</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5" w:name="Par61"/>
      <w:bookmarkEnd w:id="5"/>
      <w:r>
        <w:rPr>
          <w:rFonts w:ascii="Calibri" w:hAnsi="Calibri" w:cs="Calibri"/>
        </w:rPr>
        <w:t>6. Расчет специальных надбавок производится исходя из получения газораспределительной организацией (далее - ГРО) планируемого объема выручки в размере, необходимом для финансирования утвержденной программы газификации и уплаты возникающего при этом налога на прибыль. Указанный размер выручки определяется по следующей формуле:</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20.2pt">
            <v:imagedata r:id="rId17" o:title=""/>
          </v:shape>
        </w:pict>
      </w:r>
      <w:r>
        <w:rPr>
          <w:rFonts w:ascii="Calibri" w:hAnsi="Calibri" w:cs="Calibri"/>
        </w:rPr>
        <w:t xml:space="preserve"> (1)</w:t>
      </w:r>
    </w:p>
    <w:p w:rsidR="00DE511D" w:rsidRDefault="00DE51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ФСТ России от 31.10.2014 N 244-э/6)</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27.5pt;height:19.4pt">
            <v:imagedata r:id="rId19" o:title=""/>
          </v:shape>
        </w:pict>
      </w:r>
      <w:r>
        <w:rPr>
          <w:rFonts w:ascii="Calibri" w:hAnsi="Calibri" w:cs="Calibri"/>
        </w:rPr>
        <w:t xml:space="preserve"> - сумма средств, необходимая для финансирования утвержденной программы газификации на период установления специальной надбавки в зоне обслуживания данной ГРО;</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33.15pt;height:19.4pt">
            <v:imagedata r:id="rId20" o:title=""/>
          </v:shape>
        </w:pict>
      </w:r>
      <w:r>
        <w:rPr>
          <w:rFonts w:ascii="Calibri" w:hAnsi="Calibri" w:cs="Calibri"/>
        </w:rPr>
        <w:t xml:space="preserve"> - альтернативные источники финансирования утвержденной программы газификации, в том числе средства бюджетов всех уровней, инвестиции сторонних организаций, средства от проведения дополнительных эмиссий акций, плата за подключение и т.д.;</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25pt;height:19.4pt">
            <v:imagedata r:id="rId21" o:title=""/>
          </v:shape>
        </w:pict>
      </w:r>
      <w:r>
        <w:rPr>
          <w:rFonts w:ascii="Calibri" w:hAnsi="Calibri" w:cs="Calibri"/>
        </w:rPr>
        <w:t xml:space="preserve"> -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средств, получаемых от применения специальной надбавки в </w:t>
      </w:r>
      <w:proofErr w:type="gramStart"/>
      <w:r>
        <w:rPr>
          <w:rFonts w:ascii="Calibri" w:hAnsi="Calibri" w:cs="Calibri"/>
        </w:rPr>
        <w:t>том</w:t>
      </w:r>
      <w:proofErr w:type="gramEnd"/>
      <w:r>
        <w:rPr>
          <w:rFonts w:ascii="Calibri" w:hAnsi="Calibri" w:cs="Calibri"/>
        </w:rPr>
        <w:t xml:space="preserve"> же периоде регулирования, на который утверждается плата за технологическое присоединение;</w:t>
      </w:r>
    </w:p>
    <w:p w:rsidR="00DE511D" w:rsidRDefault="00DE51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Приказом</w:t>
        </w:r>
      </w:hyperlink>
      <w:r>
        <w:rPr>
          <w:rFonts w:ascii="Calibri" w:hAnsi="Calibri" w:cs="Calibri"/>
        </w:rPr>
        <w:t xml:space="preserve"> ФСТ России от 31.10.2014 N 244-э/6)</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33.15pt;height:20.2pt">
            <v:imagedata r:id="rId23" o:title=""/>
          </v:shape>
        </w:pict>
      </w:r>
      <w:r>
        <w:rPr>
          <w:rFonts w:ascii="Calibri" w:hAnsi="Calibri" w:cs="Calibri"/>
        </w:rPr>
        <w:t xml:space="preserve"> - расчетная плановая сумма налога на прибыль, возникающего от увеличения выручки ГРО в связи с введением специальной надбавки.</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альтернативных источников финансирования также рассматриваются полученные сверх плана в предыдущем периоде средства от применения специальных надбавок, за исключением случаев, когда указанные средства были израсходованы для финансирования программы газификации жилищно-коммунального хозяйства в предыдущем периоде (финансирование предварительно было предусмотрено с дефицитом или программа была скорректирована с учетом увеличения сбора средств).</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Сумма инвестиций по программе газификации может рассматриваться как с учетом налога на добавленную стоимость, так и без него. В случае если стоимость работ, включенных в программу газификации, определена с учетом налога на добавленную стоимость, в составе альтернативных источников финансирования учитывается возврат из бюджета налога на добавленную стоимость после ввода в эксплуатацию объектов, строительство которых предусмотрено программой газификации, финансируемой за счет сре</w:t>
      </w:r>
      <w:proofErr w:type="gramStart"/>
      <w:r>
        <w:rPr>
          <w:rFonts w:ascii="Calibri" w:hAnsi="Calibri" w:cs="Calibri"/>
        </w:rPr>
        <w:t>дств сп</w:t>
      </w:r>
      <w:proofErr w:type="gramEnd"/>
      <w:r>
        <w:rPr>
          <w:rFonts w:ascii="Calibri" w:hAnsi="Calibri" w:cs="Calibri"/>
        </w:rPr>
        <w:t>ециальной надбавки.</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Расчетная плановая сумма налога на прибыль, возникающего от увеличения выручки в связи с введением специальной надбавки, определяется исходя из условия обеспечения организации, осуществляющей регулируемый вид деятельности, получения необходимого объема чистой прибыли для финансирования программы газификации по следующей формуле:</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30" type="#_x0000_t75" style="width:244.3pt;height:39.65pt">
            <v:imagedata r:id="rId24" o:title=""/>
          </v:shape>
        </w:pict>
      </w:r>
      <w:r>
        <w:rPr>
          <w:rFonts w:ascii="Calibri" w:hAnsi="Calibri" w:cs="Calibri"/>
        </w:rPr>
        <w:t xml:space="preserve"> (2)</w:t>
      </w:r>
    </w:p>
    <w:p w:rsidR="00DE511D" w:rsidRDefault="00DE51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ФСТ России от 31.10.2014 N 244-э/6)</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5.9pt;height:19.4pt">
            <v:imagedata r:id="rId26" o:title=""/>
          </v:shape>
        </w:pict>
      </w:r>
      <w:r>
        <w:rPr>
          <w:rFonts w:ascii="Calibri" w:hAnsi="Calibri" w:cs="Calibri"/>
        </w:rPr>
        <w:t xml:space="preserve"> - расходы, связанные с осуществлением программы газификации, учитывающиеся в налоговом учете (уменьшающие налогооблагаемую базу по налогу на прибыль);</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32" type="#_x0000_t75" style="width:32.35pt;height:20.2pt">
            <v:imagedata r:id="rId27" o:title=""/>
          </v:shape>
        </w:pict>
      </w:r>
      <w:r>
        <w:rPr>
          <w:rFonts w:ascii="Calibri" w:hAnsi="Calibri" w:cs="Calibri"/>
        </w:rPr>
        <w:t xml:space="preserve"> - ставка начисления налога на прибыль.</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Специальные надбавки, рассчитанные в соответствии с настоящей Методикой, могут дифференцироваться по группам конечных потребителей, по которым осуществляется дифференцирование тарифов на транспортировку газа, а также по нескольким технологически обособленным системам газораспределения, для которых осуществляется дифференцирование тарифов на транспортировку газа.</w:t>
      </w:r>
    </w:p>
    <w:p w:rsidR="00DE511D" w:rsidRDefault="00DE51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ФСТ России от 12.10.2011 N 245-э/1)</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Если специальные надбавки устанавливаются дифференцированно по группам конечных потребителей, отнесение конечных потребителей (кроме населения) к группам, по которым дифференцируется специальная надбавка, для целей ее расчета и применения осуществляется исходя из годового объема транспортировки газа на текущий год данному конечному потребителю по всем договорам транспортировки, предусматривающим оказание услуг по транспортировке газа до сетей конечного потребителя через газораспределительные сети данной ГРО (договоры</w:t>
      </w:r>
      <w:proofErr w:type="gramEnd"/>
      <w:r>
        <w:rPr>
          <w:rFonts w:ascii="Calibri" w:hAnsi="Calibri" w:cs="Calibri"/>
        </w:rPr>
        <w:t xml:space="preserve"> транспортировки, поставки газа, а также 3-сторонние договоры между ГРО, поставщиком газа и его потребителем), отдельно по точкам подключения сетей конечных потребителей к газораспределительным сетям (местам соединения сетей конечных потребителей с газораспределительными сетями). При этом первоначальное отнесение конечных потребителей (кроме населения) к группам, по которым дифференцируется специальная надбавка, для целей ее применения осуществляется исходя </w:t>
      </w:r>
      <w:proofErr w:type="gramStart"/>
      <w:r>
        <w:rPr>
          <w:rFonts w:ascii="Calibri" w:hAnsi="Calibri" w:cs="Calibri"/>
        </w:rPr>
        <w:t>из</w:t>
      </w:r>
      <w:proofErr w:type="gramEnd"/>
      <w:r>
        <w:rPr>
          <w:rFonts w:ascii="Calibri" w:hAnsi="Calibri" w:cs="Calibri"/>
        </w:rPr>
        <w:t>:</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годового договорного объема транспортировки газа данному конечному потребителю на текущий год по отдельным точкам подключения сетей конечного потребителя к газораспределительным сетям по всем договорам, предусматривающим оказание услуг по транспортировке газа до сетей конечного потребителя через газораспределительные сети данной ГРО, с учетом заключенных до начала поставки газа в текущем году дополнительных соглашений, либо в пересчете на год, в случае если договор</w:t>
      </w:r>
      <w:proofErr w:type="gramEnd"/>
      <w:r>
        <w:rPr>
          <w:rFonts w:ascii="Calibri" w:hAnsi="Calibri" w:cs="Calibri"/>
        </w:rPr>
        <w:t xml:space="preserve"> (дополнительное соглашение к договору) заключается на неполный год вследствие ввода в эксплуатацию нового газоиспользующего оборудования (далее - новый конечный потребитель);</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фактического объема транспортировки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сетям) по отдельным точкам подключения сетей конечных потребителей к газораспределительным сетям, либо в пересчете на год в случае отсутствия данных по потреблению за полный год.</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Пересчет объема газа на год в случае, если договор заключается с новым конечным потребителем на неполный год, осуществляется путем деления договорного объема транспортировки газа на количество полных месяцев действия договора и умножения полученной величины на 12. При </w:t>
      </w:r>
      <w:proofErr w:type="gramStart"/>
      <w:r>
        <w:rPr>
          <w:rFonts w:ascii="Calibri" w:hAnsi="Calibri" w:cs="Calibri"/>
        </w:rPr>
        <w:t>этом полным месяцем</w:t>
      </w:r>
      <w:proofErr w:type="gramEnd"/>
      <w:r>
        <w:rPr>
          <w:rFonts w:ascii="Calibri" w:hAnsi="Calibri" w:cs="Calibri"/>
        </w:rPr>
        <w:t xml:space="preserve"> считается месяц, в котором договор действует более 15 календарных дней. В случае</w:t>
      </w:r>
      <w:proofErr w:type="gramStart"/>
      <w:r>
        <w:rPr>
          <w:rFonts w:ascii="Calibri" w:hAnsi="Calibri" w:cs="Calibri"/>
        </w:rPr>
        <w:t>,</w:t>
      </w:r>
      <w:proofErr w:type="gramEnd"/>
      <w:r>
        <w:rPr>
          <w:rFonts w:ascii="Calibri" w:hAnsi="Calibri" w:cs="Calibri"/>
        </w:rPr>
        <w:t xml:space="preserve">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w:t>
      </w:r>
      <w:proofErr w:type="gramStart"/>
      <w:r>
        <w:rPr>
          <w:rFonts w:ascii="Calibri" w:hAnsi="Calibri" w:cs="Calibri"/>
        </w:rPr>
        <w:t>заполнения</w:t>
      </w:r>
      <w:proofErr w:type="gramEnd"/>
      <w:r>
        <w:rPr>
          <w:rFonts w:ascii="Calibri" w:hAnsi="Calibri" w:cs="Calibri"/>
        </w:rPr>
        <w:t xml:space="preserve">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транспортировки газа на следующий полный календарный год, то в текущем году отнесение конечных потребителей (кроме населения) к группам, по которым дифференцируется специальная надбавка, осуществляется исходя из годового договорного объема транспортировки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сетям.</w:t>
      </w:r>
    </w:p>
    <w:p w:rsidR="00DE511D" w:rsidRDefault="00DE51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ФСТ России от 12.10.2011 N 245-э/1)</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через одну точку подключения сетей конечных потребителей к </w:t>
      </w:r>
      <w:r>
        <w:rPr>
          <w:rFonts w:ascii="Calibri" w:hAnsi="Calibri" w:cs="Calibri"/>
        </w:rPr>
        <w:lastRenderedPageBreak/>
        <w:t>газораспределительным сетям газ поставляется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то в целях отнесения такого конечного потребителя к группам, по которым дифференцируется размер платы за снабженческо-сбытовые услуги поставщика, используется суммарный объем поставки газа, определенный</w:t>
      </w:r>
      <w:proofErr w:type="gramEnd"/>
      <w:r>
        <w:rPr>
          <w:rFonts w:ascii="Calibri" w:hAnsi="Calibri" w:cs="Calibri"/>
        </w:rPr>
        <w:t xml:space="preserve"> на основании приведенных выше в данном пункте методов.</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газ транспортируется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транспортировки газа через указанные точки подключения.</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фактический объем транспортировки газа конечному потребителю по отдельным точкам подключения сетей конечных потребителей к газораспределительным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и специальной надбавки в соответствии с алгоритмом, приведенным в </w:t>
      </w:r>
      <w:hyperlink w:anchor="Par113" w:history="1">
        <w:r>
          <w:rPr>
            <w:rFonts w:ascii="Calibri" w:hAnsi="Calibri" w:cs="Calibri"/>
            <w:color w:val="0000FF"/>
          </w:rPr>
          <w:t>пункте 14</w:t>
        </w:r>
      </w:hyperlink>
      <w:r>
        <w:rPr>
          <w:rFonts w:ascii="Calibri" w:hAnsi="Calibri" w:cs="Calibri"/>
        </w:rPr>
        <w:t xml:space="preserve"> настоящей Методики.</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 среднего размера специальной надбавки</w:t>
      </w:r>
      <w:proofErr w:type="gramStart"/>
      <w:r>
        <w:rPr>
          <w:rFonts w:ascii="Calibri" w:hAnsi="Calibri" w:cs="Calibri"/>
        </w:rPr>
        <w:t xml:space="preserve"> (</w:t>
      </w:r>
      <w:r>
        <w:rPr>
          <w:rFonts w:ascii="Calibri" w:hAnsi="Calibri" w:cs="Calibri"/>
          <w:position w:val="-14"/>
        </w:rPr>
        <w:pict>
          <v:shape id="_x0000_i1033" type="#_x0000_t75" style="width:26.7pt;height:22.65pt">
            <v:imagedata r:id="rId30" o:title=""/>
          </v:shape>
        </w:pict>
      </w:r>
      <w:r>
        <w:rPr>
          <w:rFonts w:ascii="Calibri" w:hAnsi="Calibri" w:cs="Calibri"/>
        </w:rPr>
        <w:t xml:space="preserve">) </w:t>
      </w:r>
      <w:proofErr w:type="gramEnd"/>
      <w:r>
        <w:rPr>
          <w:rFonts w:ascii="Calibri" w:hAnsi="Calibri" w:cs="Calibri"/>
        </w:rPr>
        <w:t>осуществляется по следующей формуле:</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4" type="#_x0000_t75" style="width:71.2pt;height:35.6pt">
            <v:imagedata r:id="rId31" o:title=""/>
          </v:shape>
        </w:pict>
      </w:r>
      <w:r>
        <w:rPr>
          <w:rFonts w:ascii="Calibri" w:hAnsi="Calibri" w:cs="Calibri"/>
        </w:rPr>
        <w:t xml:space="preserve"> (3)</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 суммарный объем транспортировки газа конечным потребителям, для групп которых устанавливается специальная надбавка, по распределительным сетям ГРО на территории рассматриваемого субъекта Российской Федерации на период установления специальной надбавки. Объемы транспортировки газа для расчета принимаются на уровне прогнозных на период регулирования с учетом договорных объемов транспортировки газа по распределительным газопроводам (в расчете на год), прогноза </w:t>
      </w:r>
      <w:proofErr w:type="spellStart"/>
      <w:r>
        <w:rPr>
          <w:rFonts w:ascii="Calibri" w:hAnsi="Calibri" w:cs="Calibri"/>
        </w:rPr>
        <w:t>газопотребления</w:t>
      </w:r>
      <w:proofErr w:type="spellEnd"/>
      <w:r>
        <w:rPr>
          <w:rFonts w:ascii="Calibri" w:hAnsi="Calibri" w:cs="Calibri"/>
        </w:rPr>
        <w:t xml:space="preserve">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w:t>
      </w:r>
      <w:proofErr w:type="gramStart"/>
      <w:r>
        <w:rPr>
          <w:rFonts w:ascii="Calibri" w:hAnsi="Calibri" w:cs="Calibri"/>
        </w:rPr>
        <w:t>за</w:t>
      </w:r>
      <w:proofErr w:type="gramEnd"/>
      <w:r>
        <w:rPr>
          <w:rFonts w:ascii="Calibri" w:hAnsi="Calibri" w:cs="Calibri"/>
        </w:rPr>
        <w:t xml:space="preserve"> предыдущие 3 года.</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период установления специальных надбавок совпадает с периодом установления тарифов на услуги данной ГРО на транспортировку газа, объемы транспортировки газа принимаются на уровне, принятом ФСТ России для целей расчета тарифов на транспортировку.</w:t>
      </w: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6" w:name="Par101"/>
      <w:bookmarkEnd w:id="6"/>
      <w:r>
        <w:rPr>
          <w:rFonts w:ascii="Calibri" w:hAnsi="Calibri" w:cs="Calibri"/>
        </w:rPr>
        <w:t>12. Средний размер специальной надбавки для соответствующей газораспределительной организации не может превышать 25% от среднего тарифа на транспортировку газа для конечных потребителей. В случае если тарифы на транспортировку газа установлены дифференцированно для нескольких технологически обособленных систем газораспределения, средний размер специальной надбавки не может превышать 25% от среднего тарифа по каждой из указанных систем газораспределения.</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специальной надбавки не может превышать долю от тарифа на транспортировку газа, установленного для соответствующей группы конечных потребителей, согласно приложению к настоящей Методике. Данные ограничения не распространяются на соотношения размера специальной надбавки и:</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установленных тарифов на транспортировку газа для 1-й (свыше 500 млн. м3 газа в год), 2-й (от 100 млн. м3 до 500 млн. м3 газа в год включительно), 3-й (от 10 млн. м3 до 100 млн. м3 газа в год включительно) групп конечных потребителей газа, если транспортировка газа таким конечным потребителям не осуществляется;</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установленных дифференцированно тарифов на транспортировку газа конечным потребителям, которые перешли (полностью или частично) в группу с более высоким коэффициентом сложности обслуживания системы газораспределения после изменения </w:t>
      </w:r>
      <w:r>
        <w:rPr>
          <w:rFonts w:ascii="Calibri" w:hAnsi="Calibri" w:cs="Calibri"/>
        </w:rPr>
        <w:lastRenderedPageBreak/>
        <w:t>принципов отнесения к группам.</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специальной надбавки по состоянию на 30 июня 2013 года превышает:</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- 45% от тарифа на транспортировку газа, установленного для 1-ой группы конечных потребителей;</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- 43% от тарифа на транспортировку газа, установленного для 2-ой группы конечных потребителей;</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- 40% от тарифа на транспортировку газа, установленного для 3-ей группы конечных потребителей (для случаев, когда услуги по транспортировке газа не оказываются 1 или 1 и 2 группам конечных потребителей),</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то при пересмотре тарифа на транспортировку газа и (или) размера специальной надбавки сложившиеся на 30 июня 2013 года соотношения размера специальной надбавки и тарифа на транспортировку газа по указанным группам конечных потребителей не могут быть увеличены (кроме случаев снижения среднего тарифа) на транспортировку газа при условии, что средний размер специальной надбавки для соответствующей газораспределительной организации составляет менее 25% от среднего</w:t>
      </w:r>
      <w:proofErr w:type="gramEnd"/>
      <w:r>
        <w:rPr>
          <w:rFonts w:ascii="Calibri" w:hAnsi="Calibri" w:cs="Calibri"/>
        </w:rPr>
        <w:t xml:space="preserve"> тарифа на транспортировку газа для конечных потребителей).</w:t>
      </w:r>
    </w:p>
    <w:p w:rsidR="00DE511D" w:rsidRDefault="00DE51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2" w:history="1">
        <w:r>
          <w:rPr>
            <w:rFonts w:ascii="Calibri" w:hAnsi="Calibri" w:cs="Calibri"/>
            <w:color w:val="0000FF"/>
          </w:rPr>
          <w:t>Приказа</w:t>
        </w:r>
      </w:hyperlink>
      <w:r>
        <w:rPr>
          <w:rFonts w:ascii="Calibri" w:hAnsi="Calibri" w:cs="Calibri"/>
        </w:rPr>
        <w:t xml:space="preserve"> ФСТ России от 12.10.2011 N 245-э/1)</w:t>
      </w: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13. При установлении дифференцированной по группам конечных потребителей специальной надбавки ее размер для группы конечных потребителей с меньшим годовым объемом потребления газа не может быть меньше размера специальной надбавки для группы конечных потребителей с большим годовым объемом потребления (кроме населения).</w:t>
      </w:r>
    </w:p>
    <w:p w:rsidR="00DE511D" w:rsidRDefault="00DE511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 ред. </w:t>
      </w:r>
      <w:hyperlink r:id="rId33" w:history="1">
        <w:r>
          <w:rPr>
            <w:rFonts w:ascii="Calibri" w:hAnsi="Calibri" w:cs="Calibri"/>
            <w:color w:val="0000FF"/>
          </w:rPr>
          <w:t>Приказа</w:t>
        </w:r>
      </w:hyperlink>
      <w:r>
        <w:rPr>
          <w:rFonts w:ascii="Calibri" w:hAnsi="Calibri" w:cs="Calibri"/>
        </w:rPr>
        <w:t xml:space="preserve"> ФСТ России от 12.10.2011 N 245-э/1)</w:t>
      </w: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8" w:name="Par113"/>
      <w:bookmarkEnd w:id="8"/>
      <w:r>
        <w:rPr>
          <w:rFonts w:ascii="Calibri" w:hAnsi="Calibri" w:cs="Calibri"/>
        </w:rPr>
        <w:t xml:space="preserve">14. </w:t>
      </w:r>
      <w:proofErr w:type="gramStart"/>
      <w:r>
        <w:rPr>
          <w:rFonts w:ascii="Calibri" w:hAnsi="Calibri" w:cs="Calibri"/>
        </w:rPr>
        <w:t>Если установление специальных надбавок для случаев, когда тарифы на транспортировку установлены дифференцированно по территориальному признаку и (или) по ранее существовавшим зонам обслуживания различных ГРО, без такого рода дифференциации приводит к невозможности соблюдения ограничений по росту стоимости жилищно-коммунальных услуг, специальная надбавка также может дифференцироваться по территориальному признаку и (или) по ранее существовавшим зонам обслуживания различных ГРО.</w:t>
      </w:r>
      <w:proofErr w:type="gramEnd"/>
      <w:r>
        <w:rPr>
          <w:rFonts w:ascii="Calibri" w:hAnsi="Calibri" w:cs="Calibri"/>
        </w:rPr>
        <w:t xml:space="preserve"> При этом обеспечивается выполнение условий, указанных в </w:t>
      </w:r>
      <w:hyperlink w:anchor="Par61" w:history="1">
        <w:r>
          <w:rPr>
            <w:rFonts w:ascii="Calibri" w:hAnsi="Calibri" w:cs="Calibri"/>
            <w:color w:val="0000FF"/>
          </w:rPr>
          <w:t>пунктах 6</w:t>
        </w:r>
      </w:hyperlink>
      <w:r>
        <w:rPr>
          <w:rFonts w:ascii="Calibri" w:hAnsi="Calibri" w:cs="Calibri"/>
        </w:rPr>
        <w:t xml:space="preserve">, </w:t>
      </w:r>
      <w:hyperlink w:anchor="Par101" w:history="1">
        <w:r>
          <w:rPr>
            <w:rFonts w:ascii="Calibri" w:hAnsi="Calibri" w:cs="Calibri"/>
            <w:color w:val="0000FF"/>
          </w:rPr>
          <w:t>12</w:t>
        </w:r>
      </w:hyperlink>
      <w:r>
        <w:rPr>
          <w:rFonts w:ascii="Calibri" w:hAnsi="Calibri" w:cs="Calibri"/>
        </w:rPr>
        <w:t xml:space="preserve">, </w:t>
      </w:r>
      <w:hyperlink w:anchor="Par111" w:history="1">
        <w:r>
          <w:rPr>
            <w:rFonts w:ascii="Calibri" w:hAnsi="Calibri" w:cs="Calibri"/>
            <w:color w:val="0000FF"/>
          </w:rPr>
          <w:t>13</w:t>
        </w:r>
      </w:hyperlink>
      <w:r>
        <w:rPr>
          <w:rFonts w:ascii="Calibri" w:hAnsi="Calibri" w:cs="Calibri"/>
        </w:rPr>
        <w:t>.</w:t>
      </w: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9" w:name="Par114"/>
      <w:bookmarkEnd w:id="9"/>
      <w:r>
        <w:rPr>
          <w:rFonts w:ascii="Calibri" w:hAnsi="Calibri" w:cs="Calibri"/>
        </w:rPr>
        <w:t>15. Размер специальной надбавки в месяце проведения отнесения конечного потребителя к другой объемной группе рассчитывается по следующей формуле:</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10" w:name="Par116"/>
      <w:bookmarkEnd w:id="10"/>
      <w:r>
        <w:rPr>
          <w:rFonts w:ascii="Calibri" w:hAnsi="Calibri" w:cs="Calibri"/>
          <w:position w:val="-30"/>
        </w:rPr>
        <w:pict>
          <v:shape id="_x0000_i1035" type="#_x0000_t75" style="width:211.95pt;height:55.8pt">
            <v:imagedata r:id="rId34" o:title=""/>
          </v:shape>
        </w:pict>
      </w:r>
      <w:r>
        <w:rPr>
          <w:rFonts w:ascii="Calibri" w:hAnsi="Calibri" w:cs="Calibri"/>
        </w:rPr>
        <w:t xml:space="preserve"> (4)</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27.5pt;height:22.65pt">
            <v:imagedata r:id="rId35" o:title=""/>
          </v:shape>
        </w:pict>
      </w:r>
      <w:r>
        <w:rPr>
          <w:rFonts w:ascii="Calibri" w:hAnsi="Calibri" w:cs="Calibri"/>
        </w:rPr>
        <w:t xml:space="preserve"> - специальная надбавка, установленная для объемной группы, к которой был отнесен конечный потребитель после уточнения его объемных показателей;</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7" type="#_x0000_t75" style="width:27.5pt;height:22.65pt">
            <v:imagedata r:id="rId36" o:title=""/>
          </v:shape>
        </w:pict>
      </w:r>
      <w:r>
        <w:rPr>
          <w:rFonts w:ascii="Calibri" w:hAnsi="Calibri" w:cs="Calibri"/>
        </w:rPr>
        <w:t xml:space="preserve"> - специальная надбавка, установленная для объемной группы, к которой конечный потребитель был отнесен первоначально;</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w:t>
      </w:r>
      <w:proofErr w:type="spellEnd"/>
      <w:r>
        <w:rPr>
          <w:rFonts w:ascii="Calibri" w:hAnsi="Calibri" w:cs="Calibri"/>
        </w:rPr>
        <w:t xml:space="preserve"> - порядковый номер месяца, в котором конечный потребитель был отнесен к другой объемной группе;</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2.95pt;height:19.4pt">
            <v:imagedata r:id="rId37" o:title=""/>
          </v:shape>
        </w:pict>
      </w:r>
      <w:r>
        <w:rPr>
          <w:rFonts w:ascii="Calibri" w:hAnsi="Calibri" w:cs="Calibri"/>
        </w:rPr>
        <w:t xml:space="preserve"> - объем транспортировки газа по газораспределительным сетям данной ГРО для поставки конечному потребителю, который был отнесен к другой объемной группе в соответствующем месяце.</w:t>
      </w:r>
    </w:p>
    <w:p w:rsidR="00DE511D" w:rsidRDefault="00DE511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отнесение конечного потребителя к другой объемной группе проводится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поставки газа</w:t>
      </w:r>
      <w:proofErr w:type="gramEnd"/>
      <w:r>
        <w:rPr>
          <w:rFonts w:ascii="Calibri" w:hAnsi="Calibri" w:cs="Calibri"/>
        </w:rPr>
        <w:t xml:space="preserve">, а при наличии сведений о фактическом </w:t>
      </w:r>
      <w:r>
        <w:rPr>
          <w:rFonts w:ascii="Calibri" w:hAnsi="Calibri" w:cs="Calibri"/>
        </w:rPr>
        <w:lastRenderedPageBreak/>
        <w:t xml:space="preserve">годовом объеме поставки - не более 10% от фактического годового объема поставки) выходит за объемные пределы группы, к которой он был ранее отнесен. </w:t>
      </w:r>
      <w:proofErr w:type="gramStart"/>
      <w:r>
        <w:rPr>
          <w:rFonts w:ascii="Calibri" w:hAnsi="Calibri" w:cs="Calibri"/>
        </w:rPr>
        <w:t>Отнесение к группе с более высоким порядковым номером возможно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w:t>
      </w:r>
      <w:proofErr w:type="gramEnd"/>
      <w:r>
        <w:rPr>
          <w:rFonts w:ascii="Calibri" w:hAnsi="Calibri" w:cs="Calibri"/>
        </w:rPr>
        <w:t xml:space="preserve"> </w:t>
      </w:r>
      <w:proofErr w:type="gramStart"/>
      <w:r>
        <w:rPr>
          <w:rFonts w:ascii="Calibri" w:hAnsi="Calibri" w:cs="Calibri"/>
        </w:rPr>
        <w:t>В случае если прекращение оказания услуг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было возобновлено (продлено) и фактический объем поставки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w:t>
      </w:r>
      <w:proofErr w:type="gramEnd"/>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значение </w:t>
      </w:r>
      <w:r>
        <w:rPr>
          <w:rFonts w:ascii="Calibri" w:hAnsi="Calibri" w:cs="Calibri"/>
          <w:position w:val="-14"/>
        </w:rPr>
        <w:pict>
          <v:shape id="_x0000_i1039" type="#_x0000_t75" style="width:27.5pt;height:22.65pt">
            <v:imagedata r:id="rId38" o:title=""/>
          </v:shape>
        </w:pict>
      </w:r>
      <w:r>
        <w:rPr>
          <w:rFonts w:ascii="Calibri" w:hAnsi="Calibri" w:cs="Calibri"/>
        </w:rPr>
        <w:t xml:space="preserve">, рассчитываемое по </w:t>
      </w:r>
      <w:hyperlink w:anchor="Par116" w:history="1">
        <w:r>
          <w:rPr>
            <w:rFonts w:ascii="Calibri" w:hAnsi="Calibri" w:cs="Calibri"/>
            <w:color w:val="0000FF"/>
          </w:rPr>
          <w:t>формуле (4)</w:t>
        </w:r>
      </w:hyperlink>
      <w:r>
        <w:rPr>
          <w:rFonts w:ascii="Calibri" w:hAnsi="Calibri" w:cs="Calibri"/>
        </w:rPr>
        <w:t>, оказывается отрицательным, то специальная надбавка в этом месяце определяется равной нулю, а в следующем месяце рассчитывается по следующей формуле:</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position w:val="-30"/>
        </w:rPr>
        <w:pict>
          <v:shape id="_x0000_i1040" type="#_x0000_t75" style="width:153.7pt;height:40.45pt">
            <v:imagedata r:id="rId39" o:title=""/>
          </v:shape>
        </w:pict>
      </w:r>
      <w:r>
        <w:rPr>
          <w:rFonts w:ascii="Calibri" w:hAnsi="Calibri" w:cs="Calibri"/>
        </w:rPr>
        <w:t xml:space="preserve"> (5)</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значение </w:t>
      </w:r>
      <w:r>
        <w:rPr>
          <w:rFonts w:ascii="Calibri" w:hAnsi="Calibri" w:cs="Calibri"/>
          <w:position w:val="-14"/>
        </w:rPr>
        <w:pict>
          <v:shape id="_x0000_i1041" type="#_x0000_t75" style="width:27.5pt;height:22.65pt">
            <v:imagedata r:id="rId40" o:title=""/>
          </v:shape>
        </w:pict>
      </w:r>
      <w:r>
        <w:rPr>
          <w:rFonts w:ascii="Calibri" w:hAnsi="Calibri" w:cs="Calibri"/>
        </w:rPr>
        <w:t xml:space="preserve">, рассчитываемое по </w:t>
      </w:r>
      <w:hyperlink w:anchor="Par126" w:history="1">
        <w:r>
          <w:rPr>
            <w:rFonts w:ascii="Calibri" w:hAnsi="Calibri" w:cs="Calibri"/>
            <w:color w:val="0000FF"/>
          </w:rPr>
          <w:t>формуле (5)</w:t>
        </w:r>
      </w:hyperlink>
      <w:r>
        <w:rPr>
          <w:rFonts w:ascii="Calibri" w:hAnsi="Calibri" w:cs="Calibri"/>
        </w:rPr>
        <w:t xml:space="preserve">, вновь оказывается отрицательным, то специальная надбавка в этом месяце также определяется равной нулю, а расчет по </w:t>
      </w:r>
      <w:hyperlink w:anchor="Par126" w:history="1">
        <w:r>
          <w:rPr>
            <w:rFonts w:ascii="Calibri" w:hAnsi="Calibri" w:cs="Calibri"/>
            <w:color w:val="0000FF"/>
          </w:rPr>
          <w:t>формуле (5)</w:t>
        </w:r>
      </w:hyperlink>
      <w:r>
        <w:rPr>
          <w:rFonts w:ascii="Calibri" w:hAnsi="Calibri" w:cs="Calibri"/>
        </w:rPr>
        <w:t xml:space="preserve"> повторяется каждый месяц до получения положительного значения специальной надбавки.</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значение </w:t>
      </w:r>
      <w:r>
        <w:rPr>
          <w:rFonts w:ascii="Calibri" w:hAnsi="Calibri" w:cs="Calibri"/>
          <w:position w:val="-14"/>
        </w:rPr>
        <w:pict>
          <v:shape id="_x0000_i1042" type="#_x0000_t75" style="width:27.5pt;height:22.65pt">
            <v:imagedata r:id="rId38" o:title=""/>
          </v:shape>
        </w:pict>
      </w:r>
      <w:r>
        <w:rPr>
          <w:rFonts w:ascii="Calibri" w:hAnsi="Calibri" w:cs="Calibri"/>
        </w:rPr>
        <w:t xml:space="preserve">, рассчитываемое по </w:t>
      </w:r>
      <w:hyperlink w:anchor="Par116" w:history="1">
        <w:r>
          <w:rPr>
            <w:rFonts w:ascii="Calibri" w:hAnsi="Calibri" w:cs="Calibri"/>
            <w:color w:val="0000FF"/>
          </w:rPr>
          <w:t>формуле (4)</w:t>
        </w:r>
      </w:hyperlink>
      <w:r>
        <w:rPr>
          <w:rFonts w:ascii="Calibri" w:hAnsi="Calibri" w:cs="Calibri"/>
        </w:rPr>
        <w:t xml:space="preserve">, оказывается отрицательным, осуществляется проведение перерасчета тарифа в соответствии с алгоритмом, предусмотренным </w:t>
      </w:r>
      <w:hyperlink w:anchor="Par126" w:history="1">
        <w:r>
          <w:rPr>
            <w:rFonts w:ascii="Calibri" w:hAnsi="Calibri" w:cs="Calibri"/>
            <w:color w:val="0000FF"/>
          </w:rPr>
          <w:t>формулой (5)</w:t>
        </w:r>
      </w:hyperlink>
      <w:r>
        <w:rPr>
          <w:rFonts w:ascii="Calibri" w:hAnsi="Calibri" w:cs="Calibri"/>
        </w:rPr>
        <w:t>, за предыдущий месяц, в случае если это предусмотрено договором транспортировки и (или) рассматриваемое ГРО больше не осуществляет услуг по транспортировке газа указанному конечному потребителю.</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случае если в течение календарного года после начала оказания услуг по транспортировке газа вследствие заключения дополнительных соглашений к договору транспортировки (поставки) газа с конечным потребителем годовой договорной объем поставки газа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определяемых на момент заключения дополнительного соглашения к договору поставки газа (но</w:t>
      </w:r>
      <w:proofErr w:type="gramEnd"/>
      <w:r>
        <w:rPr>
          <w:rFonts w:ascii="Calibri" w:hAnsi="Calibri" w:cs="Calibri"/>
        </w:rPr>
        <w:t xml:space="preserve"> </w:t>
      </w:r>
      <w:proofErr w:type="gramStart"/>
      <w:r>
        <w:rPr>
          <w:rFonts w:ascii="Calibri" w:hAnsi="Calibri" w:cs="Calibri"/>
        </w:rPr>
        <w:t xml:space="preserve">не более 10% от общего годового договорного объема транспортировки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ar114" w:history="1">
        <w:r>
          <w:rPr>
            <w:rFonts w:ascii="Calibri" w:hAnsi="Calibri" w:cs="Calibri"/>
            <w:color w:val="0000FF"/>
          </w:rPr>
          <w:t>пункте 15</w:t>
        </w:r>
      </w:hyperlink>
      <w:r>
        <w:rPr>
          <w:rFonts w:ascii="Calibri" w:hAnsi="Calibri" w:cs="Calibri"/>
        </w:rPr>
        <w:t xml:space="preserve"> настоящей Методики, если договором транспортировки (поставки) газа предусмотрены объемные показатели по точкам подключения.</w:t>
      </w:r>
      <w:proofErr w:type="gramEnd"/>
      <w:r>
        <w:rPr>
          <w:rFonts w:ascii="Calibri" w:hAnsi="Calibri" w:cs="Calibri"/>
        </w:rPr>
        <w:t xml:space="preserve"> Корректировка отнесения конечного потребителя к группе вследствие заключения дополнительных соглашений к договору транспортировки (поставки) газа не проводится, если это указано в договоре транспортировки (поставки).</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м3, что сопровождается завершением транспортировки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сетям, передавшему указанное оборудование (далее - КП</w:t>
      </w:r>
      <w:proofErr w:type="gramStart"/>
      <w:r>
        <w:rPr>
          <w:rFonts w:ascii="Calibri" w:hAnsi="Calibri" w:cs="Calibri"/>
        </w:rPr>
        <w:t>1</w:t>
      </w:r>
      <w:proofErr w:type="gramEnd"/>
      <w:r>
        <w:rPr>
          <w:rFonts w:ascii="Calibri" w:hAnsi="Calibri" w:cs="Calibri"/>
        </w:rPr>
        <w:t>), и началом транспортировки газа для указанного оборудования конечному потребителю, его получившему (далее - КП</w:t>
      </w:r>
      <w:proofErr w:type="gramStart"/>
      <w:r>
        <w:rPr>
          <w:rFonts w:ascii="Calibri" w:hAnsi="Calibri" w:cs="Calibri"/>
        </w:rPr>
        <w:t>2</w:t>
      </w:r>
      <w:proofErr w:type="gramEnd"/>
      <w:r>
        <w:rPr>
          <w:rFonts w:ascii="Calibri" w:hAnsi="Calibri" w:cs="Calibri"/>
        </w:rPr>
        <w:t>), по указанным выше точке (точкам) подключения сетей конечного потребителя к газораспределительным сетям, правила отнесения указанных конечных потребителей к группам, по которым дифференцируется специальная надбавка, определяются ниже в данном пункте.</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договор транспортировки газа заключен с КП</w:t>
      </w:r>
      <w:proofErr w:type="gramStart"/>
      <w:r>
        <w:rPr>
          <w:rFonts w:ascii="Calibri" w:hAnsi="Calibri" w:cs="Calibri"/>
        </w:rPr>
        <w:t>1</w:t>
      </w:r>
      <w:proofErr w:type="gramEnd"/>
      <w:r>
        <w:rPr>
          <w:rFonts w:ascii="Calibri" w:hAnsi="Calibri" w:cs="Calibri"/>
        </w:rPr>
        <w:t xml:space="preserve"> на полный календарный год, то первоначальное отнесение КП1 к группе производится исходя из объема транспортировки газа по данной точке подключения, указанного в договоре с КП1.</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транспортировки газа заключен с КП</w:t>
      </w:r>
      <w:proofErr w:type="gramStart"/>
      <w:r>
        <w:rPr>
          <w:rFonts w:ascii="Calibri" w:hAnsi="Calibri" w:cs="Calibri"/>
        </w:rPr>
        <w:t>1</w:t>
      </w:r>
      <w:proofErr w:type="gramEnd"/>
      <w:r>
        <w:rPr>
          <w:rFonts w:ascii="Calibri" w:hAnsi="Calibri" w:cs="Calibri"/>
        </w:rPr>
        <w:t xml:space="preserve"> на период до передачи газоиспользующего оборудования, то первоначальное отнесение КП1 к группе производится исходя из фактического объема транспортировки газа по данной точке подключения КП1 за полный предыдущий год (в случае отсутствия таких данных - договорного объема транспортировки газа по данной точке подключения КП1, пересчитанного на полный год с использованием метода, приведенного в настоящей Методике).</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Первоначальное отнесение к группе КП</w:t>
      </w:r>
      <w:proofErr w:type="gramStart"/>
      <w:r>
        <w:rPr>
          <w:rFonts w:ascii="Calibri" w:hAnsi="Calibri" w:cs="Calibri"/>
        </w:rPr>
        <w:t>2</w:t>
      </w:r>
      <w:proofErr w:type="gramEnd"/>
      <w:r>
        <w:rPr>
          <w:rFonts w:ascii="Calibri" w:hAnsi="Calibri" w:cs="Calibri"/>
        </w:rPr>
        <w:t xml:space="preserve"> производится исходя из суммы фактического объема транспортировки газа в текущем календарном году по данной точке подключения КП1 и договорного объема транспортировки газа на оставшийся период текущего календарного года КП2.</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корректировки отнесения КП</w:t>
      </w:r>
      <w:proofErr w:type="gramStart"/>
      <w:r>
        <w:rPr>
          <w:rFonts w:ascii="Calibri" w:hAnsi="Calibri" w:cs="Calibri"/>
        </w:rPr>
        <w:t>1</w:t>
      </w:r>
      <w:proofErr w:type="gramEnd"/>
      <w:r>
        <w:rPr>
          <w:rFonts w:ascii="Calibri" w:hAnsi="Calibri" w:cs="Calibri"/>
        </w:rPr>
        <w:t xml:space="preserve"> к группе производится исходя из суммы фактического объема транспортировки газа КП1 по рассматриваемой точке подключения и договорного объема транспортировки газа КП2.</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суммарный фактический объем транспортировки газа КП</w:t>
      </w:r>
      <w:proofErr w:type="gramStart"/>
      <w:r>
        <w:rPr>
          <w:rFonts w:ascii="Calibri" w:hAnsi="Calibri" w:cs="Calibri"/>
        </w:rPr>
        <w:t>1</w:t>
      </w:r>
      <w:proofErr w:type="gramEnd"/>
      <w:r>
        <w:rPr>
          <w:rFonts w:ascii="Calibri" w:hAnsi="Calibri" w:cs="Calibri"/>
        </w:rPr>
        <w:t xml:space="preserve"> и КП2 за календарный год по рассматриваемой точке подключения выходят за рамки объемных пределов формирования группы, к которой указанные потребители были первоначально отнесены, проводится отнесение КП2 к другой группе.</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Подходы к определению размера специальной надбавки в случае проведения корректировки отнесения КП</w:t>
      </w:r>
      <w:proofErr w:type="gramStart"/>
      <w:r>
        <w:rPr>
          <w:rFonts w:ascii="Calibri" w:hAnsi="Calibri" w:cs="Calibri"/>
        </w:rPr>
        <w:t>1</w:t>
      </w:r>
      <w:proofErr w:type="gramEnd"/>
      <w:r>
        <w:rPr>
          <w:rFonts w:ascii="Calibri" w:hAnsi="Calibri" w:cs="Calibri"/>
        </w:rPr>
        <w:t xml:space="preserve"> и КП2 к группе аналогичны указанным в </w:t>
      </w:r>
      <w:hyperlink w:anchor="Par114" w:history="1">
        <w:r>
          <w:rPr>
            <w:rFonts w:ascii="Calibri" w:hAnsi="Calibri" w:cs="Calibri"/>
            <w:color w:val="0000FF"/>
          </w:rPr>
          <w:t>пункте 15</w:t>
        </w:r>
      </w:hyperlink>
      <w:r>
        <w:rPr>
          <w:rFonts w:ascii="Calibri" w:hAnsi="Calibri" w:cs="Calibri"/>
        </w:rPr>
        <w:t xml:space="preserve"> настоящей Методики.</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jc w:val="right"/>
        <w:outlineLvl w:val="1"/>
        <w:rPr>
          <w:rFonts w:ascii="Calibri" w:hAnsi="Calibri" w:cs="Calibri"/>
        </w:rPr>
      </w:pPr>
      <w:bookmarkStart w:id="12" w:name="Par143"/>
      <w:bookmarkEnd w:id="12"/>
      <w:r>
        <w:rPr>
          <w:rFonts w:ascii="Calibri" w:hAnsi="Calibri" w:cs="Calibri"/>
        </w:rPr>
        <w:t>Приложение</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определения размера</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специальных надбавок к тарифам</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на транспортировку газа</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газораспределительными</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организациями для финансирования</w:t>
      </w: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газификации</w:t>
      </w:r>
    </w:p>
    <w:p w:rsidR="00DE511D" w:rsidRDefault="00DE511D">
      <w:pPr>
        <w:widowControl w:val="0"/>
        <w:autoSpaceDE w:val="0"/>
        <w:autoSpaceDN w:val="0"/>
        <w:adjustRightInd w:val="0"/>
        <w:spacing w:after="0" w:line="240" w:lineRule="auto"/>
        <w:jc w:val="center"/>
        <w:rPr>
          <w:rFonts w:ascii="Calibri" w:hAnsi="Calibri" w:cs="Calibri"/>
        </w:rPr>
      </w:pPr>
    </w:p>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ФСТ России от 12.10.2011 N 245-э/1)</w:t>
      </w:r>
    </w:p>
    <w:p w:rsidR="00DE511D" w:rsidRDefault="00DE511D">
      <w:pPr>
        <w:widowControl w:val="0"/>
        <w:autoSpaceDE w:val="0"/>
        <w:autoSpaceDN w:val="0"/>
        <w:adjustRightInd w:val="0"/>
        <w:spacing w:after="0" w:line="240" w:lineRule="auto"/>
        <w:jc w:val="center"/>
        <w:rPr>
          <w:rFonts w:ascii="Calibri" w:hAnsi="Calibri" w:cs="Calibri"/>
        </w:rPr>
        <w:sectPr w:rsidR="00DE511D" w:rsidSect="002E7945">
          <w:pgSz w:w="11906" w:h="16838"/>
          <w:pgMar w:top="1134" w:right="850" w:bottom="1134" w:left="1701" w:header="708" w:footer="708" w:gutter="0"/>
          <w:cols w:space="708"/>
          <w:docGrid w:linePitch="360"/>
        </w:sect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jc w:val="right"/>
        <w:rPr>
          <w:rFonts w:ascii="Calibri" w:hAnsi="Calibri" w:cs="Calibri"/>
        </w:rPr>
      </w:pPr>
      <w:r>
        <w:rPr>
          <w:rFonts w:ascii="Calibri" w:hAnsi="Calibri" w:cs="Calibri"/>
        </w:rPr>
        <w:t>%</w:t>
      </w:r>
    </w:p>
    <w:tbl>
      <w:tblPr>
        <w:tblW w:w="0" w:type="auto"/>
        <w:tblInd w:w="62" w:type="dxa"/>
        <w:tblLayout w:type="fixed"/>
        <w:tblCellMar>
          <w:top w:w="75" w:type="dxa"/>
          <w:left w:w="0" w:type="dxa"/>
          <w:bottom w:w="75" w:type="dxa"/>
          <w:right w:w="0" w:type="dxa"/>
        </w:tblCellMar>
        <w:tblLook w:val="0000"/>
      </w:tblPr>
      <w:tblGrid>
        <w:gridCol w:w="6270"/>
        <w:gridCol w:w="1980"/>
        <w:gridCol w:w="1980"/>
        <w:gridCol w:w="1980"/>
      </w:tblGrid>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Группы конечных потребителей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с 1 июля 2012 года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с 1 июля 2014 года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с 1 июля 2015 года</w:t>
            </w:r>
          </w:p>
        </w:tc>
      </w:tr>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1-я группа (свыше 500 млн. м3 газа в год)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52 (58) </w:t>
            </w:r>
            <w:hyperlink w:anchor="Par193"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50 (56) </w:t>
            </w:r>
            <w:hyperlink w:anchor="Par193"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48 (54) </w:t>
            </w:r>
            <w:hyperlink w:anchor="Par193" w:history="1">
              <w:r>
                <w:rPr>
                  <w:rFonts w:ascii="Calibri" w:hAnsi="Calibri" w:cs="Calibri"/>
                  <w:color w:val="0000FF"/>
                </w:rPr>
                <w:t>&lt;*&gt;</w:t>
              </w:r>
            </w:hyperlink>
          </w:p>
        </w:tc>
      </w:tr>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2-я группа (от 100 млн. м3 до 500 млн. м3 газа в год включительно)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3-я группа (от 10 млн. м3 до 100 млн. м3 газа в год включительно)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33 (50) </w:t>
            </w:r>
            <w:hyperlink w:anchor="Par194"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32 (48) </w:t>
            </w:r>
            <w:hyperlink w:anchor="Par194"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31 (46) </w:t>
            </w:r>
            <w:hyperlink w:anchor="Par194" w:history="1">
              <w:r>
                <w:rPr>
                  <w:rFonts w:ascii="Calibri" w:hAnsi="Calibri" w:cs="Calibri"/>
                  <w:color w:val="0000FF"/>
                </w:rPr>
                <w:t>&lt;**&gt;</w:t>
              </w:r>
            </w:hyperlink>
          </w:p>
        </w:tc>
      </w:tr>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4-я группа (от 1 млн. м3 до 10 млн. м3 газа в год включительно)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(33) </w:t>
            </w:r>
            <w:hyperlink w:anchor="Par194"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(32) </w:t>
            </w:r>
            <w:hyperlink w:anchor="Par194"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(31) </w:t>
            </w:r>
            <w:hyperlink w:anchor="Par194" w:history="1">
              <w:r>
                <w:rPr>
                  <w:rFonts w:ascii="Calibri" w:hAnsi="Calibri" w:cs="Calibri"/>
                  <w:color w:val="0000FF"/>
                </w:rPr>
                <w:t>&lt;**&gt;</w:t>
              </w:r>
            </w:hyperlink>
          </w:p>
        </w:tc>
      </w:tr>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5-я группа (от 100 тыс. м3 до 1 млн. м3 газа в год включительно)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(27) </w:t>
            </w:r>
            <w:hyperlink w:anchor="Par194"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(27) </w:t>
            </w:r>
            <w:hyperlink w:anchor="Par194"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25 (27) </w:t>
            </w:r>
            <w:hyperlink w:anchor="Par194" w:history="1">
              <w:r>
                <w:rPr>
                  <w:rFonts w:ascii="Calibri" w:hAnsi="Calibri" w:cs="Calibri"/>
                  <w:color w:val="0000FF"/>
                </w:rPr>
                <w:t>&lt;**&gt;</w:t>
              </w:r>
            </w:hyperlink>
          </w:p>
        </w:tc>
      </w:tr>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6-я группа (от 10 тыс. м3 до 100 тыс. м3 газа в год включительно)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7-я группа (до 10 тыс. м3 газа в год включительно)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E511D">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rPr>
                <w:rFonts w:ascii="Calibri" w:hAnsi="Calibri" w:cs="Calibri"/>
              </w:rPr>
            </w:pPr>
            <w:r>
              <w:rPr>
                <w:rFonts w:ascii="Calibri" w:hAnsi="Calibri" w:cs="Calibri"/>
              </w:rPr>
              <w:t>8-я группа (население)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511D" w:rsidRDefault="00DE511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DE511D" w:rsidRDefault="00DE511D">
      <w:pPr>
        <w:widowControl w:val="0"/>
        <w:autoSpaceDE w:val="0"/>
        <w:autoSpaceDN w:val="0"/>
        <w:adjustRightInd w:val="0"/>
        <w:spacing w:after="0" w:line="240" w:lineRule="auto"/>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13" w:name="Par193"/>
      <w:bookmarkEnd w:id="13"/>
      <w:r>
        <w:rPr>
          <w:rFonts w:ascii="Calibri" w:hAnsi="Calibri" w:cs="Calibri"/>
        </w:rPr>
        <w:t>&lt;*&gt; Для случаев, когда установленный тариф на транспортировку газа для 1-й группы конечных потребителей составляет менее 70% от тарифа на транспортировку газа, установленного для 2-й группы конечных потребителей.</w:t>
      </w:r>
    </w:p>
    <w:p w:rsidR="00DE511D" w:rsidRDefault="00DE511D">
      <w:pPr>
        <w:widowControl w:val="0"/>
        <w:autoSpaceDE w:val="0"/>
        <w:autoSpaceDN w:val="0"/>
        <w:adjustRightInd w:val="0"/>
        <w:spacing w:after="0" w:line="240" w:lineRule="auto"/>
        <w:ind w:firstLine="540"/>
        <w:jc w:val="both"/>
        <w:rPr>
          <w:rFonts w:ascii="Calibri" w:hAnsi="Calibri" w:cs="Calibri"/>
        </w:rPr>
      </w:pPr>
      <w:bookmarkStart w:id="14" w:name="Par194"/>
      <w:bookmarkEnd w:id="14"/>
      <w:r>
        <w:rPr>
          <w:rFonts w:ascii="Calibri" w:hAnsi="Calibri" w:cs="Calibri"/>
        </w:rPr>
        <w:t>&lt;**&gt; Для случаев, когда услуги по транспортировке газа не оказываются 1-ой или 1-ой и 2-ой группам конечных потребителей.</w:t>
      </w:r>
    </w:p>
    <w:p w:rsidR="00DE511D" w:rsidRDefault="00DE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максимальный размер доли специальной надбавки от тарифа на транспортировку газа выбирается </w:t>
      </w:r>
      <w:proofErr w:type="gramStart"/>
      <w:r>
        <w:rPr>
          <w:rFonts w:ascii="Calibri" w:hAnsi="Calibri" w:cs="Calibri"/>
        </w:rPr>
        <w:t>в соответствии с настоящим приложением на момент вступления в силу решения об установлении</w:t>
      </w:r>
      <w:proofErr w:type="gramEnd"/>
      <w:r>
        <w:rPr>
          <w:rFonts w:ascii="Calibri" w:hAnsi="Calibri" w:cs="Calibri"/>
        </w:rPr>
        <w:t xml:space="preserve"> специальной надбавки к тарифу на транспортировку газа и действует до следующего пересмотра тарифа на транспортировку газа и (или) специальной надбавки, но не более 2-х лет.</w:t>
      </w: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autoSpaceDE w:val="0"/>
        <w:autoSpaceDN w:val="0"/>
        <w:adjustRightInd w:val="0"/>
        <w:spacing w:after="0" w:line="240" w:lineRule="auto"/>
        <w:ind w:firstLine="540"/>
        <w:jc w:val="both"/>
        <w:rPr>
          <w:rFonts w:ascii="Calibri" w:hAnsi="Calibri" w:cs="Calibri"/>
        </w:rPr>
      </w:pPr>
    </w:p>
    <w:p w:rsidR="00DE511D" w:rsidRDefault="00DE511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390E" w:rsidRDefault="0069390E"/>
    <w:sectPr w:rsidR="0069390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E511D"/>
    <w:rsid w:val="0069390E"/>
    <w:rsid w:val="00DE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D6A29AA0D69BED9234F910182436A74922EA7BBB33A57390320FFAA50BB569B6C0A23280F40645v9dCJ" TargetMode="External"/><Relationship Id="rId13" Type="http://schemas.openxmlformats.org/officeDocument/2006/relationships/hyperlink" Target="consultantplus://offline/ref=51D6A29AA0D69BED9234F910182436A74927E87FBE3EA57390320FFAA50BB569B6C0A23280F40646v9d9J" TargetMode="External"/><Relationship Id="rId18" Type="http://schemas.openxmlformats.org/officeDocument/2006/relationships/hyperlink" Target="consultantplus://offline/ref=51D6A29AA0D69BED9234F910182436A74922E874BC33A57390320FFAA50BB569B6C0A23280F40646v9d7J" TargetMode="External"/><Relationship Id="rId26" Type="http://schemas.openxmlformats.org/officeDocument/2006/relationships/image" Target="media/image7.wmf"/><Relationship Id="rId39"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image" Target="media/image4.wmf"/><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hyperlink" Target="consultantplus://offline/ref=51D6A29AA0D69BED9234F910182436A74923EF7DBD3BA57390320FFAA50BB569B6C0A23280F4064Fv9d8J" TargetMode="External"/><Relationship Id="rId12" Type="http://schemas.openxmlformats.org/officeDocument/2006/relationships/hyperlink" Target="consultantplus://offline/ref=51D6A29AA0D69BED9234F910182436A74925EC74BE3CA57390320FFAA5v0dBJ" TargetMode="External"/><Relationship Id="rId17" Type="http://schemas.openxmlformats.org/officeDocument/2006/relationships/image" Target="media/image1.wmf"/><Relationship Id="rId25" Type="http://schemas.openxmlformats.org/officeDocument/2006/relationships/hyperlink" Target="consultantplus://offline/ref=51D6A29AA0D69BED9234F910182436A74922E874BC33A57390320FFAA50BB569B6C0A23280F40647v9dCJ" TargetMode="External"/><Relationship Id="rId33" Type="http://schemas.openxmlformats.org/officeDocument/2006/relationships/hyperlink" Target="consultantplus://offline/ref=51D6A29AA0D69BED9234F910182436A74927E87FBE3EA57390320FFAA50BB569B6C0A23280F40647v9d6J" TargetMode="External"/><Relationship Id="rId38"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hyperlink" Target="consultantplus://offline/ref=51D6A29AA0D69BED9234F910182436A74920EE7EB933A57390320FFAA50BB569B6C0A23280F40647v9dEJ" TargetMode="External"/><Relationship Id="rId20" Type="http://schemas.openxmlformats.org/officeDocument/2006/relationships/image" Target="media/image3.wmf"/><Relationship Id="rId29" Type="http://schemas.openxmlformats.org/officeDocument/2006/relationships/hyperlink" Target="consultantplus://offline/ref=51D6A29AA0D69BED9234F910182436A74927E87FBE3EA57390320FFAA50BB569B6C0A23280F40646v9d7J" TargetMode="External"/><Relationship Id="rId41" Type="http://schemas.openxmlformats.org/officeDocument/2006/relationships/hyperlink" Target="consultantplus://offline/ref=51D6A29AA0D69BED9234F910182436A74927E87FBE3EA57390320FFAA50BB569B6C0A23280F40644v9dFJ" TargetMode="External"/><Relationship Id="rId1" Type="http://schemas.openxmlformats.org/officeDocument/2006/relationships/styles" Target="styles.xml"/><Relationship Id="rId6" Type="http://schemas.openxmlformats.org/officeDocument/2006/relationships/hyperlink" Target="consultantplus://offline/ref=51D6A29AA0D69BED9234F910182436A74922E874BC33A57390320FFAA50BB569B6C0A23280F40646v9d9J" TargetMode="External"/><Relationship Id="rId11" Type="http://schemas.openxmlformats.org/officeDocument/2006/relationships/hyperlink" Target="consultantplus://offline/ref=51D6A29AA0D69BED9234F910182436A74027E07AB830F879986B03F8vAd2J" TargetMode="External"/><Relationship Id="rId24" Type="http://schemas.openxmlformats.org/officeDocument/2006/relationships/image" Target="media/image6.wmf"/><Relationship Id="rId32" Type="http://schemas.openxmlformats.org/officeDocument/2006/relationships/hyperlink" Target="consultantplus://offline/ref=51D6A29AA0D69BED9234F910182436A74927E87FBE3EA57390320FFAA50BB569B6C0A23280F40646v9d6J" TargetMode="External"/><Relationship Id="rId37" Type="http://schemas.openxmlformats.org/officeDocument/2006/relationships/image" Target="media/image14.wmf"/><Relationship Id="rId40" Type="http://schemas.openxmlformats.org/officeDocument/2006/relationships/image" Target="media/image17.wmf"/><Relationship Id="rId5" Type="http://schemas.openxmlformats.org/officeDocument/2006/relationships/hyperlink" Target="consultantplus://offline/ref=51D6A29AA0D69BED9234F910182436A74927E87FBE3EA57390320FFAA50BB569B6C0A23280F40646v9d9J" TargetMode="External"/><Relationship Id="rId15" Type="http://schemas.openxmlformats.org/officeDocument/2006/relationships/hyperlink" Target="consultantplus://offline/ref=51D6A29AA0D69BED9234F910182436A74923EF7DBD3BA57390320FFAA50BB569B6C0A23280F4064Fv9d8J" TargetMode="External"/><Relationship Id="rId23" Type="http://schemas.openxmlformats.org/officeDocument/2006/relationships/image" Target="media/image5.wmf"/><Relationship Id="rId28" Type="http://schemas.openxmlformats.org/officeDocument/2006/relationships/hyperlink" Target="consultantplus://offline/ref=51D6A29AA0D69BED9234F910182436A74927E87FBE3EA57390320FFAA50BB569B6C0A23280F40646v9d8J" TargetMode="External"/><Relationship Id="rId36" Type="http://schemas.openxmlformats.org/officeDocument/2006/relationships/image" Target="media/image13.wmf"/><Relationship Id="rId10" Type="http://schemas.openxmlformats.org/officeDocument/2006/relationships/hyperlink" Target="consultantplus://offline/ref=51D6A29AA0D69BED9234F910182436A74925EC74B438A57390320FFAA5v0dBJ" TargetMode="External"/><Relationship Id="rId19" Type="http://schemas.openxmlformats.org/officeDocument/2006/relationships/image" Target="media/image2.wmf"/><Relationship Id="rId31" Type="http://schemas.openxmlformats.org/officeDocument/2006/relationships/image" Target="media/image10.wmf"/><Relationship Id="rId4" Type="http://schemas.openxmlformats.org/officeDocument/2006/relationships/hyperlink" Target="http://www.consultant.ru" TargetMode="External"/><Relationship Id="rId9" Type="http://schemas.openxmlformats.org/officeDocument/2006/relationships/hyperlink" Target="consultantplus://offline/ref=51D6A29AA0D69BED9234F910182436A74920EE7EB933A57390320FFAA50BB569B6C0A23280F40647v9dEJ" TargetMode="External"/><Relationship Id="rId14" Type="http://schemas.openxmlformats.org/officeDocument/2006/relationships/hyperlink" Target="consultantplus://offline/ref=51D6A29AA0D69BED9234F910182436A74922E874BC33A57390320FFAA50BB569B6C0A23280F40646v9d9J" TargetMode="External"/><Relationship Id="rId22" Type="http://schemas.openxmlformats.org/officeDocument/2006/relationships/hyperlink" Target="consultantplus://offline/ref=51D6A29AA0D69BED9234F910182436A74922E874BC33A57390320FFAA50BB569B6C0A23280F40647v9dFJ" TargetMode="Externa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2.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4496</Words>
  <Characters>25632</Characters>
  <Application>Microsoft Office Word</Application>
  <DocSecurity>0</DocSecurity>
  <Lines>213</Lines>
  <Paragraphs>60</Paragraphs>
  <ScaleCrop>false</ScaleCrop>
  <Company>дТЭКиТП</Company>
  <LinksUpToDate>false</LinksUpToDate>
  <CharactersWithSpaces>30068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ПЭС</cp:lastModifiedBy>
  <cp:revision>1</cp:revision>
  <dcterms:created xsi:type="dcterms:W3CDTF">2015-01-14T09:29:00Z</dcterms:created>
  <dcterms:modified xsi:type="dcterms:W3CDTF">2015-01-14T09:32:00Z</dcterms:modified>
</cp:coreProperties>
</file>