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8"/>
        <w:jc w:val="center"/>
        <w:spacing w:lineRule="auto" w:line="240" w:after="0"/>
        <w:rPr>
          <w:rFonts w:ascii="Times New Roman" w:hAnsi="Times New Roman"/>
          <w:b w:val="false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sz w:val="24"/>
          <w:szCs w:val="24"/>
        </w:rPr>
        <w:t xml:space="preserve">Приложение</w:t>
      </w:r>
      <w:r>
        <w:rPr>
          <w:sz w:val="24"/>
        </w:rPr>
      </w:r>
    </w:p>
    <w:p>
      <w:pPr>
        <w:pStyle w:val="678"/>
        <w:jc w:val="center"/>
        <w:spacing w:lineRule="auto" w:line="240"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tbl>
      <w:tblPr>
        <w:tblW w:w="17037" w:type="dxa"/>
        <w:tblInd w:w="-15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268"/>
        <w:gridCol w:w="1134"/>
        <w:gridCol w:w="1560"/>
        <w:gridCol w:w="1275"/>
        <w:gridCol w:w="1418"/>
        <w:gridCol w:w="1276"/>
        <w:gridCol w:w="1417"/>
        <w:gridCol w:w="1418"/>
        <w:gridCol w:w="1417"/>
        <w:gridCol w:w="1276"/>
        <w:gridCol w:w="1888"/>
      </w:tblGrid>
      <w:tr>
        <w:trPr>
          <w:cantSplit/>
        </w:trPr>
        <w:tc>
          <w:tcPr>
            <w:gridSpan w:val="10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459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spacing w:lineRule="auto" w:line="240" w:after="0"/>
              <w:tabs>
                <w:tab w:val="left" w:pos="15635" w:leader="none"/>
              </w:tabs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Оказание бесплатной юридической помощи и осуществление правового информирования и правового просвещения департаментом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pStyle w:val="678"/>
              <w:jc w:val="center"/>
              <w:spacing w:lineRule="auto" w:line="240" w:after="0"/>
              <w:tabs>
                <w:tab w:val="left" w:pos="15635" w:leader="none"/>
              </w:tabs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г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осударственного  регулирования цен и тарифов Костромской области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за 202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год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</w:tcBorders>
            <w:tcW w:w="1888" w:type="dxa"/>
            <w:vAlign w:val="top"/>
            <w:vMerge w:val="restart"/>
            <w:textDirection w:val="lrTb"/>
            <w:noWrap w:val="false"/>
          </w:tcPr>
          <w:p>
            <w:pPr>
              <w:pStyle w:val="678"/>
              <w:spacing w:lineRule="auto" w:line="240" w:after="0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  <w:p>
            <w:pPr>
              <w:pStyle w:val="678"/>
              <w:spacing w:lineRule="auto" w:line="240" w:after="0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  <w:p>
            <w:pPr>
              <w:pStyle w:val="678"/>
              <w:spacing w:lineRule="auto" w:line="240" w:after="0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  <w:p>
            <w:pPr>
              <w:pStyle w:val="678"/>
              <w:spacing w:lineRule="auto" w:line="240" w:after="0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  <w:p>
            <w:pPr>
              <w:pStyle w:val="678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</w:tr>
      <w:tr>
        <w:trPr>
          <w:cantSplit/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68" w:type="dxa"/>
            <w:vAlign w:val="top"/>
            <w:vMerge w:val="restart"/>
            <w:textDirection w:val="lrTb"/>
            <w:noWrap w:val="false"/>
          </w:tcPr>
          <w:p>
            <w:pPr>
              <w:pStyle w:val="678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Количество  обращений граждан по вопросам оказания бесплатной юридической помощи</w:t>
            </w:r>
            <w:r>
              <w:rPr>
                <w:sz w:val="22"/>
              </w:rPr>
            </w:r>
          </w:p>
          <w:p>
            <w:pPr>
              <w:pStyle w:val="678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678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Количество обращений граждан, по которым оказана бесплатная юридическая помощь</w:t>
            </w:r>
            <w:r>
              <w:rPr>
                <w:sz w:val="22"/>
              </w:rPr>
            </w:r>
          </w:p>
          <w:p>
            <w:pPr>
              <w:pStyle w:val="678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529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Из них по видам бе</w:t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платной юридической помощи</w:t>
            </w:r>
            <w:r>
              <w:rPr>
                <w:sz w:val="22"/>
              </w:rPr>
            </w:r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8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Количество размещенных материалов по правовому </w:t>
            </w:r>
            <w:r>
              <w:rPr>
                <w:sz w:val="22"/>
              </w:rPr>
            </w:r>
          </w:p>
          <w:p>
            <w:pPr>
              <w:pStyle w:val="678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информированию и правовому просвещению согласно ст.28 Федерального закона</w:t>
            </w:r>
            <w:r>
              <w:rPr>
                <w:sz w:val="22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888" w:type="dxa"/>
            <w:vAlign w:val="top"/>
            <w:vMerge w:val="continue"/>
            <w:textDirection w:val="lrTb"/>
            <w:noWrap w:val="false"/>
          </w:tcPr>
          <w:p>
            <w:pPr>
              <w:pStyle w:val="678"/>
            </w:pPr>
          </w:p>
        </w:tc>
      </w:tr>
      <w:tr>
        <w:trPr>
          <w:cantSplit/>
          <w:trHeight w:val="2491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68" w:type="dxa"/>
            <w:vAlign w:val="top"/>
            <w:vMerge w:val="continue"/>
            <w:textDirection w:val="lrTb"/>
            <w:noWrap w:val="false"/>
          </w:tcPr>
          <w:p/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4" w:type="dxa"/>
            <w:vAlign w:val="top"/>
            <w:vMerge w:val="continue"/>
            <w:textDirection w:val="lrTb"/>
            <w:noWrap w:val="false"/>
          </w:tcPr>
          <w:p/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Правовое консультирование в устной форме</w:t>
            </w:r>
            <w:r>
              <w:rPr>
                <w:sz w:val="2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Правовое консультирование в письменной форме</w:t>
            </w:r>
            <w:r>
              <w:rPr>
                <w:sz w:val="2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Составление документов правового характера</w:t>
            </w:r>
            <w:r>
              <w:rPr>
                <w:sz w:val="2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Представление интересов в судах и других органах</w:t>
            </w:r>
            <w:r>
              <w:rPr>
                <w:sz w:val="2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В средствах массовой информации</w:t>
            </w:r>
            <w:r>
              <w:rPr>
                <w:sz w:val="2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В сети «Интернет»</w:t>
            </w:r>
            <w:r>
              <w:rPr>
                <w:sz w:val="2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Изданных брошюр, памяток и.т.д.</w:t>
            </w:r>
            <w:r>
              <w:rPr>
                <w:sz w:val="2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Иным </w:t>
              <w:br/>
              <w:t xml:space="preserve">способом</w:t>
            </w:r>
            <w:r>
              <w:rPr>
                <w:sz w:val="22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888" w:type="dxa"/>
            <w:vAlign w:val="top"/>
            <w:vMerge w:val="continue"/>
            <w:textDirection w:val="lrTb"/>
            <w:noWrap w:val="false"/>
          </w:tcPr>
          <w:p>
            <w:pPr>
              <w:pStyle w:val="678"/>
              <w:spacing w:lineRule="auto" w:line="240" w:after="0"/>
            </w:pPr>
          </w:p>
        </w:tc>
      </w:tr>
      <w:tr>
        <w:trPr>
          <w:cantSplit/>
          <w:trHeight w:val="7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12</w:t>
            </w:r>
            <w:r>
              <w:rPr>
                <w:sz w:val="2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12</w:t>
            </w:r>
            <w:r>
              <w:rPr>
                <w:sz w:val="2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*0</w:t>
            </w:r>
            <w:r>
              <w:rPr>
                <w:sz w:val="2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**12</w:t>
            </w:r>
            <w:r>
              <w:rPr>
                <w:sz w:val="2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0</w:t>
            </w:r>
            <w:r>
              <w:rPr>
                <w:sz w:val="2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0</w:t>
            </w:r>
            <w:r>
              <w:rPr>
                <w:sz w:val="2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***9</w:t>
            </w:r>
            <w:r>
              <w:rPr>
                <w:sz w:val="2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****32</w:t>
            </w:r>
            <w:r>
              <w:rPr>
                <w:sz w:val="2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0</w:t>
            </w:r>
            <w:r>
              <w:rPr>
                <w:sz w:val="2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*****</w:t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0</w:t>
            </w:r>
            <w:r>
              <w:rPr>
                <w:sz w:val="22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none" w:color="000000" w:sz="4" w:space="0"/>
            </w:tcBorders>
            <w:tcW w:w="1888" w:type="dxa"/>
            <w:vAlign w:val="top"/>
            <w:vMerge w:val="continue"/>
            <w:textDirection w:val="lrTb"/>
            <w:noWrap w:val="false"/>
          </w:tcPr>
          <w:tbl>
            <w:tblPr>
              <w:tblStyle w:val="535"/>
              <w:tblW w:w="0" w:type="auto"/>
              <w:tblLook w:val="04A0" w:firstRow="1" w:lastRow="0" w:firstColumn="1" w:lastColumn="0" w:noHBand="0" w:noVBand="1"/>
            </w:tblPr>
            <w:tblGrid>
              <w:gridCol w:w="215"/>
              <w:gridCol w:w="215"/>
              <w:gridCol w:w="215"/>
              <w:gridCol w:w="215"/>
              <w:gridCol w:w="215"/>
            </w:tblGrid>
            <w:tr>
              <w:trPr/>
              <w:tc>
                <w:tcPr>
                  <w:tcW w:w="215" w:type="dxa"/>
                  <w:textDirection w:val="lrTb"/>
                  <w:noWrap w:val="false"/>
                </w:tcPr>
                <w:p>
                  <w:pPr>
                    <w:pStyle w:val="678"/>
                    <w:jc w:val="center"/>
                    <w:spacing w:lineRule="auto" w:line="240" w:after="0"/>
                    <w:widowControl w:val="off"/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</w:r>
                  <w:r>
                    <w:rPr>
                      <w:highlight w:val="yellow"/>
                    </w:rPr>
                  </w:r>
                </w:p>
              </w:tc>
              <w:tc>
                <w:tcPr>
                  <w:tcW w:w="215" w:type="dxa"/>
                  <w:textDirection w:val="lrTb"/>
                  <w:noWrap w:val="false"/>
                </w:tcPr>
                <w:p>
                  <w:pPr>
                    <w:pStyle w:val="678"/>
                    <w:jc w:val="center"/>
                    <w:spacing w:lineRule="auto" w:line="240" w:after="0"/>
                    <w:widowControl w:val="off"/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</w:r>
                  <w:r>
                    <w:rPr>
                      <w:highlight w:val="yellow"/>
                    </w:rPr>
                  </w:r>
                </w:p>
              </w:tc>
              <w:tc>
                <w:tcPr>
                  <w:tcW w:w="215" w:type="dxa"/>
                  <w:textDirection w:val="lrTb"/>
                  <w:noWrap w:val="false"/>
                </w:tcPr>
                <w:p>
                  <w:pPr>
                    <w:pStyle w:val="678"/>
                    <w:jc w:val="center"/>
                    <w:spacing w:lineRule="auto" w:line="240" w:after="0"/>
                    <w:widowControl w:val="off"/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</w:r>
                  <w:r>
                    <w:rPr>
                      <w:highlight w:val="yellow"/>
                    </w:rPr>
                  </w:r>
                </w:p>
              </w:tc>
              <w:tc>
                <w:tcPr>
                  <w:tcW w:w="215" w:type="dxa"/>
                  <w:textDirection w:val="lrTb"/>
                  <w:noWrap w:val="false"/>
                </w:tcPr>
                <w:p>
                  <w:pPr>
                    <w:pStyle w:val="678"/>
                    <w:jc w:val="center"/>
                    <w:spacing w:lineRule="auto" w:line="240" w:after="0"/>
                    <w:widowControl w:val="off"/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</w:r>
                  <w:r>
                    <w:rPr>
                      <w:highlight w:val="yellow"/>
                    </w:rPr>
                  </w:r>
                </w:p>
              </w:tc>
              <w:tc>
                <w:tcPr>
                  <w:tcW w:w="215" w:type="dxa"/>
                  <w:textDirection w:val="lrTb"/>
                  <w:noWrap w:val="false"/>
                </w:tcPr>
                <w:p>
                  <w:pPr>
                    <w:pStyle w:val="678"/>
                    <w:jc w:val="center"/>
                    <w:spacing w:lineRule="auto" w:line="240" w:after="0"/>
                    <w:widowControl w:val="off"/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</w:r>
                  <w:r>
                    <w:rPr>
                      <w:highlight w:val="yellow"/>
                    </w:rPr>
                  </w:r>
                </w:p>
              </w:tc>
            </w:tr>
            <w:tr>
              <w:trPr/>
              <w:tc>
                <w:tcPr>
                  <w:tcW w:w="215" w:type="dxa"/>
                  <w:textDirection w:val="lrTb"/>
                  <w:noWrap w:val="false"/>
                </w:tcPr>
                <w:p>
                  <w:pPr>
                    <w:pStyle w:val="678"/>
                    <w:jc w:val="center"/>
                    <w:spacing w:lineRule="auto" w:line="240" w:after="0"/>
                    <w:widowControl w:val="off"/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</w:r>
                  <w:r>
                    <w:rPr>
                      <w:highlight w:val="yellow"/>
                    </w:rPr>
                  </w:r>
                </w:p>
              </w:tc>
              <w:tc>
                <w:tcPr>
                  <w:tcW w:w="215" w:type="dxa"/>
                  <w:textDirection w:val="lrTb"/>
                  <w:noWrap w:val="false"/>
                </w:tcPr>
                <w:p>
                  <w:pPr>
                    <w:pStyle w:val="678"/>
                    <w:jc w:val="center"/>
                    <w:spacing w:lineRule="auto" w:line="240" w:after="0"/>
                    <w:widowControl w:val="off"/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</w:r>
                  <w:r>
                    <w:rPr>
                      <w:highlight w:val="yellow"/>
                    </w:rPr>
                  </w:r>
                </w:p>
              </w:tc>
              <w:tc>
                <w:tcPr>
                  <w:tcW w:w="215" w:type="dxa"/>
                  <w:textDirection w:val="lrTb"/>
                  <w:noWrap w:val="false"/>
                </w:tcPr>
                <w:p>
                  <w:pPr>
                    <w:pStyle w:val="678"/>
                    <w:jc w:val="center"/>
                    <w:spacing w:lineRule="auto" w:line="240" w:after="0"/>
                    <w:widowControl w:val="off"/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</w:r>
                  <w:r>
                    <w:rPr>
                      <w:highlight w:val="yellow"/>
                    </w:rPr>
                  </w:r>
                </w:p>
              </w:tc>
              <w:tc>
                <w:tcPr>
                  <w:tcW w:w="215" w:type="dxa"/>
                  <w:textDirection w:val="lrTb"/>
                  <w:noWrap w:val="false"/>
                </w:tcPr>
                <w:p>
                  <w:pPr>
                    <w:pStyle w:val="678"/>
                    <w:jc w:val="center"/>
                    <w:spacing w:lineRule="auto" w:line="240" w:after="0"/>
                    <w:widowControl w:val="off"/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</w:r>
                  <w:r>
                    <w:rPr>
                      <w:highlight w:val="yellow"/>
                    </w:rPr>
                  </w:r>
                </w:p>
              </w:tc>
              <w:tc>
                <w:tcPr>
                  <w:tcW w:w="215" w:type="dxa"/>
                  <w:textDirection w:val="lrTb"/>
                  <w:noWrap w:val="false"/>
                </w:tcPr>
                <w:p>
                  <w:pPr>
                    <w:pStyle w:val="678"/>
                    <w:jc w:val="center"/>
                    <w:spacing w:lineRule="auto" w:line="240" w:after="0"/>
                    <w:widowControl w:val="off"/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</w:r>
                  <w:r>
                    <w:rPr>
                      <w:highlight w:val="yellow"/>
                    </w:rPr>
                  </w:r>
                </w:p>
              </w:tc>
            </w:tr>
            <w:tr>
              <w:trPr/>
              <w:tc>
                <w:tcPr>
                  <w:tcW w:w="215" w:type="dxa"/>
                  <w:textDirection w:val="lrTb"/>
                  <w:noWrap w:val="false"/>
                </w:tcPr>
                <w:p>
                  <w:pPr>
                    <w:pStyle w:val="678"/>
                    <w:jc w:val="center"/>
                    <w:spacing w:lineRule="auto" w:line="240" w:after="0"/>
                    <w:widowControl w:val="off"/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</w:r>
                  <w:r>
                    <w:rPr>
                      <w:highlight w:val="yellow"/>
                    </w:rPr>
                  </w:r>
                </w:p>
              </w:tc>
              <w:tc>
                <w:tcPr>
                  <w:tcW w:w="215" w:type="dxa"/>
                  <w:textDirection w:val="lrTb"/>
                  <w:noWrap w:val="false"/>
                </w:tcPr>
                <w:p>
                  <w:pPr>
                    <w:pStyle w:val="678"/>
                    <w:jc w:val="center"/>
                    <w:spacing w:lineRule="auto" w:line="240" w:after="0"/>
                    <w:widowControl w:val="off"/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</w:r>
                  <w:r>
                    <w:rPr>
                      <w:highlight w:val="yellow"/>
                    </w:rPr>
                  </w:r>
                </w:p>
              </w:tc>
              <w:tc>
                <w:tcPr>
                  <w:tcW w:w="215" w:type="dxa"/>
                  <w:textDirection w:val="lrTb"/>
                  <w:noWrap w:val="false"/>
                </w:tcPr>
                <w:p>
                  <w:pPr>
                    <w:pStyle w:val="678"/>
                    <w:jc w:val="center"/>
                    <w:spacing w:lineRule="auto" w:line="240" w:after="0"/>
                    <w:widowControl w:val="off"/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</w:r>
                  <w:r>
                    <w:rPr>
                      <w:highlight w:val="yellow"/>
                    </w:rPr>
                  </w:r>
                </w:p>
              </w:tc>
              <w:tc>
                <w:tcPr>
                  <w:tcW w:w="215" w:type="dxa"/>
                  <w:textDirection w:val="lrTb"/>
                  <w:noWrap w:val="false"/>
                </w:tcPr>
                <w:p>
                  <w:pPr>
                    <w:pStyle w:val="678"/>
                    <w:jc w:val="center"/>
                    <w:spacing w:lineRule="auto" w:line="240" w:after="0"/>
                    <w:widowControl w:val="off"/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</w:r>
                  <w:r>
                    <w:rPr>
                      <w:highlight w:val="yellow"/>
                    </w:rPr>
                  </w:r>
                </w:p>
              </w:tc>
              <w:tc>
                <w:tcPr>
                  <w:tcW w:w="215" w:type="dxa"/>
                  <w:textDirection w:val="lrTb"/>
                  <w:noWrap w:val="false"/>
                </w:tcPr>
                <w:p>
                  <w:pPr>
                    <w:pStyle w:val="678"/>
                    <w:jc w:val="center"/>
                    <w:spacing w:lineRule="auto" w:line="240" w:after="0"/>
                    <w:widowControl w:val="off"/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</w:r>
                  <w:r>
                    <w:rPr>
                      <w:highlight w:val="yellow"/>
                    </w:rPr>
                  </w:r>
                </w:p>
              </w:tc>
            </w:tr>
            <w:tr>
              <w:trPr/>
              <w:tc>
                <w:tcPr>
                  <w:tcW w:w="215" w:type="dxa"/>
                  <w:textDirection w:val="lrTb"/>
                  <w:noWrap w:val="false"/>
                </w:tcPr>
                <w:p>
                  <w:pPr>
                    <w:pStyle w:val="678"/>
                    <w:jc w:val="center"/>
                    <w:spacing w:lineRule="auto" w:line="240" w:after="0"/>
                    <w:widowControl w:val="off"/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</w:r>
                  <w:r>
                    <w:rPr>
                      <w:highlight w:val="yellow"/>
                    </w:rPr>
                  </w:r>
                </w:p>
              </w:tc>
              <w:tc>
                <w:tcPr>
                  <w:tcW w:w="215" w:type="dxa"/>
                  <w:textDirection w:val="lrTb"/>
                  <w:noWrap w:val="false"/>
                </w:tcPr>
                <w:p>
                  <w:pPr>
                    <w:pStyle w:val="678"/>
                    <w:jc w:val="center"/>
                    <w:spacing w:lineRule="auto" w:line="240" w:after="0"/>
                    <w:widowControl w:val="off"/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</w:r>
                  <w:r>
                    <w:rPr>
                      <w:highlight w:val="yellow"/>
                    </w:rPr>
                  </w:r>
                </w:p>
              </w:tc>
              <w:tc>
                <w:tcPr>
                  <w:tcW w:w="215" w:type="dxa"/>
                  <w:textDirection w:val="lrTb"/>
                  <w:noWrap w:val="false"/>
                </w:tcPr>
                <w:p>
                  <w:pPr>
                    <w:pStyle w:val="678"/>
                    <w:jc w:val="center"/>
                    <w:spacing w:lineRule="auto" w:line="240" w:after="0"/>
                    <w:widowControl w:val="off"/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</w:r>
                  <w:r>
                    <w:rPr>
                      <w:highlight w:val="yellow"/>
                    </w:rPr>
                  </w:r>
                </w:p>
              </w:tc>
              <w:tc>
                <w:tcPr>
                  <w:tcW w:w="215" w:type="dxa"/>
                  <w:textDirection w:val="lrTb"/>
                  <w:noWrap w:val="false"/>
                </w:tcPr>
                <w:p>
                  <w:pPr>
                    <w:pStyle w:val="678"/>
                    <w:jc w:val="center"/>
                    <w:spacing w:lineRule="auto" w:line="240" w:after="0"/>
                    <w:widowControl w:val="off"/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</w:r>
                  <w:r>
                    <w:rPr>
                      <w:highlight w:val="yellow"/>
                    </w:rPr>
                  </w:r>
                </w:p>
              </w:tc>
              <w:tc>
                <w:tcPr>
                  <w:tcW w:w="215" w:type="dxa"/>
                  <w:textDirection w:val="lrTb"/>
                  <w:noWrap w:val="false"/>
                </w:tcPr>
                <w:p>
                  <w:pPr>
                    <w:pStyle w:val="678"/>
                    <w:jc w:val="center"/>
                    <w:spacing w:lineRule="auto" w:line="240" w:after="0"/>
                    <w:widowControl w:val="off"/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</w:r>
                  <w:r>
                    <w:rPr>
                      <w:highlight w:val="yellow"/>
                    </w:rPr>
                  </w:r>
                </w:p>
              </w:tc>
            </w:tr>
          </w:tbl>
          <w:p>
            <w:pPr>
              <w:pStyle w:val="678"/>
              <w:jc w:val="center"/>
              <w:spacing w:lineRule="auto" w:line="240" w:after="0"/>
              <w:widowControl w:val="off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</w:tr>
    </w:tbl>
    <w:p>
      <w:pPr>
        <w:pStyle w:val="678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2"/>
        </w:rPr>
      </w:pPr>
      <w:r>
        <w:rPr>
          <w:rFonts w:ascii="Times New Roman" w:hAnsi="Times New Roman" w:cs="Times New Roman" w:eastAsia="Times New Roman"/>
          <w:b/>
          <w:sz w:val="22"/>
        </w:rPr>
      </w:r>
      <w:r>
        <w:rPr>
          <w:rFonts w:ascii="Times New Roman" w:hAnsi="Times New Roman" w:cs="Times New Roman" w:eastAsia="Times New Roman"/>
          <w:sz w:val="22"/>
        </w:rPr>
      </w:r>
    </w:p>
    <w:p>
      <w:pPr>
        <w:pStyle w:val="678"/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bCs/>
          <w:sz w:val="24"/>
        </w:rPr>
      </w:pPr>
      <w:r>
        <w:rPr>
          <w:rFonts w:ascii="Times New Roman" w:hAnsi="Times New Roman" w:cs="Times New Roman" w:eastAsia="Times New Roman"/>
          <w:bCs/>
          <w:sz w:val="24"/>
        </w:rPr>
        <w:t xml:space="preserve">Статьей 20 Федерального закона от 21.11.2011 № 324-ФЗ </w:t>
      </w:r>
      <w:r>
        <w:rPr>
          <w:rFonts w:ascii="Times New Roman" w:hAnsi="Times New Roman" w:cs="Times New Roman" w:eastAsia="Times New Roman"/>
          <w:bCs/>
          <w:sz w:val="24"/>
        </w:rPr>
        <w:t xml:space="preserve">«</w:t>
      </w:r>
      <w:r>
        <w:rPr>
          <w:rFonts w:ascii="Times New Roman" w:hAnsi="Times New Roman" w:cs="Times New Roman" w:eastAsia="Times New Roman"/>
          <w:bCs/>
          <w:sz w:val="24"/>
        </w:rPr>
        <w:t xml:space="preserve">О бесплатной юридической помощи в Российской Федерации</w:t>
      </w:r>
      <w:r>
        <w:rPr>
          <w:rFonts w:ascii="Times New Roman" w:hAnsi="Times New Roman" w:cs="Times New Roman" w:eastAsia="Times New Roman"/>
          <w:bCs/>
          <w:sz w:val="24"/>
        </w:rPr>
        <w:t xml:space="preserve">»</w:t>
      </w:r>
      <w:r>
        <w:rPr>
          <w:rFonts w:ascii="Times New Roman" w:hAnsi="Times New Roman" w:cs="Times New Roman" w:eastAsia="Times New Roman"/>
          <w:bCs/>
          <w:sz w:val="24"/>
        </w:rPr>
        <w:t xml:space="preserve"> определен исчерпывающий перечень категорий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 (далее - Перечень).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78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bCs/>
          <w:sz w:val="24"/>
        </w:rPr>
      </w:pPr>
      <w:r>
        <w:rPr>
          <w:rFonts w:ascii="Times New Roman" w:hAnsi="Times New Roman" w:cs="Times New Roman" w:eastAsia="Times New Roman"/>
          <w:bCs/>
          <w:sz w:val="24"/>
        </w:rPr>
        <w:t xml:space="preserve">*</w:t>
      </w:r>
      <w:r>
        <w:rPr>
          <w:rFonts w:ascii="Times New Roman" w:hAnsi="Times New Roman" w:cs="Times New Roman" w:eastAsia="Times New Roman"/>
          <w:bCs/>
          <w:sz w:val="24"/>
        </w:rPr>
        <w:t xml:space="preserve">В </w:t>
      </w:r>
      <w:r>
        <w:rPr>
          <w:rFonts w:ascii="Times New Roman" w:hAnsi="Times New Roman" w:cs="Times New Roman" w:eastAsia="Times New Roman"/>
          <w:bCs/>
          <w:sz w:val="24"/>
        </w:rPr>
        <w:t xml:space="preserve">20</w:t>
      </w:r>
      <w:r>
        <w:rPr>
          <w:rFonts w:ascii="Times New Roman" w:hAnsi="Times New Roman" w:cs="Times New Roman" w:eastAsia="Times New Roman"/>
          <w:bCs/>
          <w:sz w:val="24"/>
        </w:rPr>
        <w:t xml:space="preserve">21</w:t>
      </w:r>
      <w:r>
        <w:rPr>
          <w:rFonts w:ascii="Times New Roman" w:hAnsi="Times New Roman" w:cs="Times New Roman" w:eastAsia="Times New Roman"/>
          <w:bCs/>
          <w:sz w:val="24"/>
        </w:rPr>
        <w:t xml:space="preserve"> году </w:t>
      </w:r>
      <w:r>
        <w:rPr>
          <w:rFonts w:ascii="Times New Roman" w:hAnsi="Times New Roman" w:cs="Times New Roman" w:eastAsia="Times New Roman"/>
          <w:bCs/>
          <w:sz w:val="24"/>
        </w:rPr>
        <w:t xml:space="preserve">в устной форме обращ</w:t>
      </w:r>
      <w:r>
        <w:rPr>
          <w:rFonts w:ascii="Times New Roman" w:hAnsi="Times New Roman" w:cs="Times New Roman" w:eastAsia="Times New Roman"/>
          <w:bCs/>
          <w:sz w:val="24"/>
        </w:rPr>
        <w:t xml:space="preserve">ени</w:t>
      </w:r>
      <w:r>
        <w:rPr>
          <w:rFonts w:ascii="Times New Roman" w:hAnsi="Times New Roman" w:cs="Times New Roman" w:eastAsia="Times New Roman"/>
          <w:bCs/>
          <w:sz w:val="24"/>
        </w:rPr>
        <w:t xml:space="preserve">й</w:t>
      </w:r>
      <w:r>
        <w:rPr>
          <w:rFonts w:ascii="Times New Roman" w:hAnsi="Times New Roman" w:cs="Times New Roman" w:eastAsia="Times New Roman"/>
          <w:bCs/>
          <w:sz w:val="24"/>
        </w:rPr>
        <w:t xml:space="preserve"> в департамент граждан, имеющих право на получение бесплатной юридической помощи в рамках государственной системы бесплатной юридической помощи согласно Перечню, </w:t>
      </w:r>
      <w:r>
        <w:rPr>
          <w:rFonts w:ascii="Times New Roman" w:hAnsi="Times New Roman" w:cs="Times New Roman" w:eastAsia="Times New Roman"/>
          <w:bCs/>
          <w:sz w:val="24"/>
        </w:rPr>
        <w:t xml:space="preserve">не поступало. 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78"/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bCs/>
          <w:sz w:val="24"/>
          <w:szCs w:val="24"/>
        </w:rPr>
      </w:pP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**В 20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21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 году 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департамент поступило 12 письменных обращени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й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 граждан, имеющих право на получение бесплатной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юридической помощи в рамках государственной системы бесплатной юридической помощи согласно Перечню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78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bCs/>
          <w:sz w:val="24"/>
          <w:szCs w:val="24"/>
        </w:rPr>
      </w:pP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На все обращения граждан даны ответы по существу в установленный законом срок.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78"/>
        <w:ind w:left="34"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FF0000"/>
          <w:sz w:val="24"/>
          <w:szCs w:val="24"/>
        </w:rPr>
      </w:pP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***</w:t>
      </w:r>
      <w:r>
        <w:rPr>
          <w:rFonts w:ascii="Times New Roman" w:hAnsi="Times New Roman" w:cs="Times New Roman" w:eastAsia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В средствах массовой информации: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78"/>
        <w:ind w:left="34"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bCs/>
          <w:color w:val="FF0000"/>
          <w:sz w:val="24"/>
          <w:szCs w:val="24"/>
        </w:rPr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5 февраля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 20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2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1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 года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- на телеканале ГТРК «Кострома»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в программе «Живи как хозяин»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интервью </w:t>
      </w:r>
      <w:r>
        <w:rPr>
          <w:rFonts w:ascii="Times New Roman" w:hAnsi="Times New Roman" w:cs="Times New Roman" w:eastAsia="Times New Roman"/>
          <w:bCs/>
          <w:color w:val="auto"/>
          <w:sz w:val="24"/>
          <w:szCs w:val="24"/>
        </w:rPr>
        <w:t xml:space="preserve">дирек</w:t>
      </w:r>
      <w:r>
        <w:rPr>
          <w:rFonts w:ascii="Times New Roman" w:hAnsi="Times New Roman" w:cs="Times New Roman" w:eastAsia="Times New Roman"/>
          <w:bCs/>
          <w:color w:val="auto"/>
          <w:sz w:val="24"/>
          <w:szCs w:val="24"/>
        </w:rPr>
        <w:t xml:space="preserve">тора департамента Солдатовой И.Ю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 на тему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: «Снижение тарифов на услуги регионального оператора по обращению с твердыми коммунальными отходами по зоне деятельности</w:t>
      </w:r>
      <w:r>
        <w:rPr>
          <w:rFonts w:ascii="Times New Roman" w:hAnsi="Times New Roman" w:cs="Times New Roman" w:eastAsia="Times New Roman"/>
          <w:color w:val="auto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№ 1 с 01.01.2021»;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78"/>
        <w:ind w:left="34" w:firstLine="709"/>
        <w:jc w:val="both"/>
        <w:spacing w:lineRule="auto" w:line="240" w:after="0"/>
        <w:rPr>
          <w:rFonts w:ascii="Times New Roman" w:hAnsi="Times New Roman" w:cs="Times New Roman" w:eastAsia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- </w:t>
      </w:r>
      <w:r>
        <w:rPr>
          <w:rFonts w:ascii="Times New Roman" w:hAnsi="Times New Roman" w:cs="Times New Roman" w:eastAsia="Times New Roman"/>
          <w:bCs/>
          <w:color w:val="auto"/>
          <w:sz w:val="24"/>
          <w:szCs w:val="24"/>
        </w:rPr>
        <w:t xml:space="preserve">5 февраля 2021 года – сетевое издание «Информационный портал СМИ 44»  размещен</w:t>
      </w:r>
      <w:r>
        <w:rPr>
          <w:rFonts w:ascii="Times New Roman" w:hAnsi="Times New Roman" w:cs="Times New Roman" w:eastAsia="Times New Roman"/>
          <w:bCs/>
          <w:color w:val="auto"/>
          <w:sz w:val="24"/>
          <w:szCs w:val="24"/>
        </w:rPr>
        <w:t xml:space="preserve">а</w:t>
      </w:r>
      <w:r>
        <w:rPr>
          <w:rFonts w:ascii="Times New Roman" w:hAnsi="Times New Roman" w:cs="Times New Roman" w:eastAsia="Times New Roman"/>
          <w:bCs/>
          <w:color w:val="auto"/>
          <w:sz w:val="24"/>
          <w:szCs w:val="24"/>
        </w:rPr>
        <w:t xml:space="preserve"> заметка на тему: «В Костроме предельная стоимость проезда в городском общественном  транспорте не превысит 23 рублей»;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78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FF0000"/>
          <w:sz w:val="24"/>
          <w:szCs w:val="24"/>
        </w:rPr>
      </w:pPr>
      <w:r>
        <w:rPr>
          <w:rFonts w:ascii="Times New Roman" w:hAnsi="Times New Roman" w:cs="Times New Roman" w:eastAsia="Times New Roman"/>
          <w:bCs/>
          <w:color w:val="auto"/>
          <w:sz w:val="24"/>
          <w:szCs w:val="24"/>
        </w:rPr>
        <w:t xml:space="preserve">- 5 февраля 2021 года - областная телерадиокомпания «Русь» информация на тему: «</w:t>
      </w:r>
      <w:r>
        <w:rPr>
          <w:rFonts w:ascii="Times New Roman" w:hAnsi="Times New Roman" w:cs="Times New Roman" w:eastAsia="Times New Roman"/>
          <w:bCs/>
          <w:color w:val="auto"/>
          <w:sz w:val="24"/>
          <w:szCs w:val="24"/>
        </w:rPr>
        <w:t xml:space="preserve">В Костроме предельная стоимость проезда в городском общественном  транспорте не превысит 23 рублей»;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78"/>
        <w:ind w:left="34" w:firstLine="709"/>
        <w:jc w:val="both"/>
        <w:spacing w:lineRule="auto" w:line="240" w:after="0"/>
        <w:rPr>
          <w:rFonts w:ascii="Times New Roman" w:hAnsi="Times New Roman" w:cs="Times New Roman" w:eastAsia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bCs/>
          <w:color w:val="auto"/>
          <w:sz w:val="24"/>
          <w:szCs w:val="24"/>
        </w:rPr>
        <w:t xml:space="preserve">- </w:t>
      </w:r>
      <w:r>
        <w:rPr>
          <w:rFonts w:ascii="Times New Roman" w:hAnsi="Times New Roman" w:cs="Times New Roman" w:eastAsia="Times New Roman"/>
          <w:bCs/>
          <w:color w:val="auto"/>
          <w:sz w:val="24"/>
          <w:szCs w:val="24"/>
        </w:rPr>
        <w:t xml:space="preserve">5 февраля 2021 года – интернет – журнал «7Х7» Новости интервью дирек</w:t>
      </w:r>
      <w:r>
        <w:rPr>
          <w:rFonts w:ascii="Times New Roman" w:hAnsi="Times New Roman" w:cs="Times New Roman" w:eastAsia="Times New Roman"/>
          <w:bCs/>
          <w:color w:val="auto"/>
          <w:sz w:val="24"/>
          <w:szCs w:val="24"/>
        </w:rPr>
        <w:t xml:space="preserve">тора департамента Солдатовой И.Ю. на тему: </w:t>
        <w:br/>
        <w:t xml:space="preserve">«Об утверждении предельного максимального тарифа на перевозки по муниципальным маршрутам рег</w:t>
      </w:r>
      <w:r>
        <w:rPr>
          <w:rFonts w:ascii="Times New Roman" w:hAnsi="Times New Roman" w:cs="Times New Roman" w:eastAsia="Times New Roman"/>
          <w:bCs/>
          <w:color w:val="auto"/>
          <w:sz w:val="24"/>
          <w:szCs w:val="24"/>
        </w:rPr>
        <w:t xml:space="preserve">улярных перевозок пассажиров </w:t>
        <w:br/>
        <w:t xml:space="preserve">и багажа автомобильным транспортом на территории городского округа город Кострома на 2021 год</w:t>
      </w:r>
      <w:r>
        <w:rPr>
          <w:rFonts w:ascii="Times New Roman" w:hAnsi="Times New Roman" w:cs="Times New Roman" w:eastAsia="Times New Roman"/>
          <w:bCs/>
          <w:color w:val="auto"/>
          <w:sz w:val="24"/>
          <w:szCs w:val="24"/>
        </w:rPr>
        <w:t xml:space="preserve">»; 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78"/>
        <w:jc w:val="both"/>
        <w:spacing w:lineRule="auto" w:line="240" w:after="0"/>
        <w:rPr>
          <w:rFonts w:ascii="Times New Roman" w:hAnsi="Times New Roman" w:cs="Times New Roman" w:eastAsia="Times New Roman"/>
          <w:color w:val="auto"/>
          <w:sz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ab/>
        <w:t xml:space="preserve">- 2 марта 2021 года -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телеканал ГТРК «Кострома»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интервью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начальника отдела регулирования услуг транспорта, социально значимых услуг и иных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регулируемых видов деятельности департамента</w:t>
      </w:r>
      <w:r>
        <w:rPr>
          <w:rFonts w:ascii="Times New Roman" w:hAnsi="Times New Roman" w:cs="Times New Roman" w:eastAsia="Times New Roman"/>
          <w:color w:val="auto"/>
          <w:sz w:val="24"/>
          <w:szCs w:val="24"/>
          <w:u w:val="none"/>
        </w:rPr>
        <w:t xml:space="preserve"> Макшановой </w:t>
      </w:r>
      <w:r>
        <w:rPr>
          <w:rFonts w:ascii="Times New Roman" w:hAnsi="Times New Roman" w:cs="Times New Roman" w:eastAsia="Times New Roman"/>
          <w:color w:val="auto"/>
          <w:sz w:val="24"/>
          <w:szCs w:val="24"/>
          <w:u w:val="none"/>
        </w:rPr>
        <w:t xml:space="preserve">Т.В.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 на тему: «Стоимость газомоторного топлива»;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78"/>
        <w:jc w:val="both"/>
        <w:spacing w:lineRule="auto" w:line="240" w:after="0"/>
        <w:rPr>
          <w:rFonts w:ascii="Times New Roman" w:hAnsi="Times New Roman" w:cs="Times New Roman" w:eastAsia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- 22 марта 2021 года -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телеканал ГТРК «Кострома»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bCs/>
          <w:color w:val="auto"/>
          <w:sz w:val="24"/>
          <w:szCs w:val="24"/>
        </w:rPr>
        <w:t xml:space="preserve">интервью директора департамента Солдатовой И.Ю. на тему:</w:t>
      </w:r>
      <w:r>
        <w:rPr>
          <w:rFonts w:ascii="Times New Roman" w:hAnsi="Times New Roman" w:cs="Times New Roman" w:eastAsia="Times New Roman"/>
          <w:bCs/>
          <w:color w:val="auto"/>
          <w:sz w:val="24"/>
          <w:szCs w:val="24"/>
        </w:rPr>
        <w:t xml:space="preserve"> «О плате граждан в отопительный период 2020-2021 годы»;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78"/>
        <w:jc w:val="both"/>
        <w:spacing w:lineRule="auto" w:line="240" w:after="0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Cs/>
          <w:color w:val="auto"/>
          <w:sz w:val="24"/>
          <w:szCs w:val="24"/>
        </w:rPr>
        <w:t xml:space="preserve">- 8 апреля 2021 года -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телеканал ГТРК «Кострома»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 интервью </w:t>
      </w:r>
      <w:r>
        <w:rPr>
          <w:rFonts w:ascii="Times New Roman" w:hAnsi="Times New Roman" w:cs="Times New Roman" w:eastAsia="Times New Roman"/>
          <w:bCs/>
          <w:color w:val="auto"/>
          <w:sz w:val="24"/>
          <w:szCs w:val="24"/>
        </w:rPr>
        <w:t xml:space="preserve">директора департамента Солдатовой И.Ю. на тему:</w:t>
      </w:r>
      <w:r>
        <w:rPr>
          <w:rFonts w:ascii="Times New Roman" w:hAnsi="Times New Roman" w:cs="Times New Roman" w:eastAsia="Times New Roman"/>
          <w:bCs/>
          <w:color w:val="auto"/>
          <w:sz w:val="24"/>
          <w:szCs w:val="24"/>
        </w:rPr>
        <w:t xml:space="preserve"> «По ценам </w:t>
        <w:br/>
        <w:t xml:space="preserve">на топливо (бензин)</w:t>
      </w:r>
      <w:r>
        <w:rPr>
          <w:rFonts w:ascii="Times New Roman" w:hAnsi="Times New Roman" w:cs="Times New Roman" w:eastAsia="Times New Roman"/>
          <w:bCs/>
          <w:color w:val="auto"/>
          <w:sz w:val="24"/>
          <w:szCs w:val="24"/>
        </w:rPr>
        <w:t xml:space="preserve">»</w:t>
      </w:r>
      <w:r>
        <w:rPr>
          <w:rFonts w:ascii="Times New Roman" w:hAnsi="Times New Roman" w:cs="Times New Roman" w:eastAsia="Times New Roman"/>
          <w:bCs/>
          <w:color w:val="auto"/>
          <w:sz w:val="24"/>
          <w:szCs w:val="24"/>
        </w:rPr>
        <w:t xml:space="preserve">; 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78"/>
        <w:jc w:val="both"/>
        <w:spacing w:lineRule="auto" w:line="240" w:after="0"/>
        <w:rPr>
          <w:rFonts w:ascii="Times New Roman" w:hAnsi="Times New Roman" w:cs="Times New Roman" w:eastAsia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- 19 апреля 2021 года -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телеканал ГТРК «Кострома»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интервью </w:t>
      </w:r>
      <w:r>
        <w:rPr>
          <w:rFonts w:ascii="Times New Roman" w:hAnsi="Times New Roman" w:cs="Times New Roman" w:eastAsia="Times New Roman"/>
          <w:bCs/>
          <w:color w:val="auto"/>
          <w:sz w:val="24"/>
          <w:szCs w:val="24"/>
        </w:rPr>
        <w:t xml:space="preserve">директора департамента Солдатовой И.Ю. на тему:</w:t>
      </w:r>
      <w:r>
        <w:rPr>
          <w:rFonts w:ascii="Times New Roman" w:hAnsi="Times New Roman" w:cs="Times New Roman" w:eastAsia="Times New Roman"/>
          <w:bCs/>
          <w:color w:val="auto"/>
          <w:sz w:val="24"/>
          <w:szCs w:val="24"/>
        </w:rPr>
        <w:t xml:space="preserve"> «Исполнение инвестиционных программ в регулируемых организациях за 2020 год».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709"/>
        <w:jc w:val="both"/>
        <w:spacing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rPr>
          <w:rFonts w:ascii="Times New Roman" w:hAnsi="Times New Roman" w:cs="Times New Roman" w:eastAsia="Times New Roman"/>
          <w:color w:val="000000"/>
          <w:sz w:val="24"/>
        </w:rPr>
        <w:outlineLvl w:val="0"/>
      </w:pPr>
      <w:r>
        <w:rPr>
          <w:rFonts w:ascii="Times New Roman" w:hAnsi="Times New Roman" w:cs="Times New Roman" w:eastAsia="Times New Roman"/>
          <w:b w:val="false"/>
          <w:color w:val="000000"/>
          <w:sz w:val="24"/>
        </w:rPr>
        <w:t xml:space="preserve"> - 5 октября 2021 года -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bCs/>
          <w:color w:val="auto"/>
          <w:sz w:val="24"/>
          <w:szCs w:val="24"/>
        </w:rPr>
        <w:t xml:space="preserve">директор департамента Солдатова И.Ю.</w:t>
      </w:r>
      <w:r>
        <w:rPr>
          <w:rFonts w:ascii="Times New Roman" w:hAnsi="Times New Roman" w:cs="Times New Roman" w:eastAsia="Times New Roman"/>
          <w:b w:val="false"/>
          <w:color w:val="000000"/>
          <w:sz w:val="24"/>
        </w:rPr>
        <w:t xml:space="preserve"> приняла у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частие в прямом эфире, организованном ОТРК «Русь», по вопросам тарифообразования на коммунальные услуги и пассажирские перевозки;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78"/>
        <w:ind w:left="34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ab/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****На официальном сайте департамента в информационно-телек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о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ммуникационной сети «Интернет» в течени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е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20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2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1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года разме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ще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на следующая информация: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79"/>
        <w:ind w:firstLine="709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b w:val="false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sz w:val="24"/>
          <w:szCs w:val="24"/>
        </w:rPr>
        <w:t xml:space="preserve">- </w:t>
      </w:r>
      <w:r>
        <w:rPr>
          <w:rFonts w:ascii="Times New Roman" w:hAnsi="Times New Roman" w:cs="Times New Roman" w:eastAsia="Times New Roman"/>
          <w:b w:val="false"/>
          <w:sz w:val="24"/>
          <w:szCs w:val="24"/>
        </w:rPr>
        <w:t xml:space="preserve">22 января 2021 года – «Результаты мониторинга розничных цен на моторное топливо»</w:t>
      </w:r>
      <w:r>
        <w:rPr>
          <w:rFonts w:ascii="Times New Roman" w:hAnsi="Times New Roman" w:cs="Times New Roman" w:eastAsia="Times New Roman"/>
          <w:b w:val="false"/>
          <w:sz w:val="24"/>
          <w:szCs w:val="24"/>
        </w:rPr>
        <w:t xml:space="preserve">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78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- 15 февраля 2021 года – «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fldChar w:fldCharType="begin"/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instrText xml:space="preserve"> HYPERLINK "http://tariff44.ru/news/3bdc26f7-dbb2-451d-9b5f-8af7a643059c.aspx" </w:instrTex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fldChar w:fldCharType="separate"/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Результаты мониторинга фактического изменения размера совокупной платы граждан за коммунальные услуги по муниципальным образованиям Костромской области в 2020 году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fldChar w:fldCharType="end"/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»;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78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- 22 марта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2021 года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–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доклад директора департамента Солдатовой И.Ю.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на еженедельном совещании при губернаторе Костромской по вопросу «О плате граждан за услуги центрального отопления в отопительный период 2020-2021 го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ды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»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78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- 2 апреля 2021 года - «Информация о результатах плановых проверок департамента»;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709"/>
        <w:jc w:val="both"/>
        <w:spacing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rPr>
          <w:rFonts w:ascii="Times New Roman" w:hAnsi="Times New Roman" w:cs="Times New Roman" w:eastAsia="Times New Roman"/>
          <w:b w:val="false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- 12 апреля 2021 год</w:t>
      </w:r>
      <w:r>
        <w:rPr>
          <w:rFonts w:ascii="Times New Roman" w:hAnsi="Times New Roman" w:cs="Times New Roman" w:eastAsia="Times New Roman"/>
          <w:b w:val="false"/>
          <w:sz w:val="24"/>
          <w:szCs w:val="24"/>
          <w:u w:val="none"/>
        </w:rPr>
        <w:t xml:space="preserve">а - «</w:t>
      </w:r>
      <w:r>
        <w:rPr>
          <w:rFonts w:ascii="Times New Roman" w:hAnsi="Times New Roman" w:cs="Times New Roman" w:eastAsia="Times New Roman"/>
          <w:b w:val="false"/>
          <w:color w:val="auto"/>
          <w:sz w:val="24"/>
          <w:u w:val="none"/>
        </w:rPr>
      </w:r>
      <w:hyperlink r:id="rId9" w:tooltip="http://tektarif.ru/news/251c6bd7-f752-4108-bf16-ae97187ea706.aspx" w:history="1">
        <w:r>
          <w:rPr>
            <w:rStyle w:val="710"/>
            <w:rFonts w:ascii="Times New Roman" w:hAnsi="Times New Roman" w:cs="Times New Roman" w:eastAsia="Times New Roman"/>
            <w:b w:val="false"/>
            <w:color w:val="auto"/>
            <w:sz w:val="24"/>
            <w:u w:val="none"/>
          </w:rPr>
          <w:t xml:space="preserve">Информация о проверках в I квартале 2021 года в отношении организаций, осуществляющих регулируемые виды деятельности»;</w:t>
        </w:r>
      </w:hyperlink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709"/>
        <w:jc w:val="both"/>
        <w:spacing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- 19 апреля 2021 года - «Об установлении предельно максимального уровня розничной цены на сжиженный газ, реализуемый в баллонах населению Костромской области»;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709"/>
        <w:jc w:val="both"/>
        <w:spacing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- 5 мая 2021 года - «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Информация о результатах проверок, проведенных департаментом в апреле 2021 года»;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78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-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21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мая 2021 года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-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«Результат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ы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мониторинга фактического роста платы граждан за коммунальные услуги в муниципальных образованиях Костромской области за январь - апрель 2021 года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»;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78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- 28 мая 2021 года – «Информация о результатах проверок, проведенных департаментом в мае 2021 года»;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78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- 31 мая 2021 года –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«Информация об изменениях федерального законодательства, направленных на стабилизацию цен на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автомобильный бензин и дизельно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е топливо»;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709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- 2 июня 2021 года - «</w:t>
      </w:r>
      <w:r>
        <w:rPr>
          <w:rFonts w:ascii="Times New Roman" w:hAnsi="Times New Roman" w:cs="Times New Roman" w:eastAsia="Times New Roman"/>
          <w:sz w:val="24"/>
        </w:rPr>
      </w:r>
      <w:hyperlink r:id="rId10" w:tooltip="http://tektarif.ru/news/34d2f598-9aa7-40ef-a697-5575fd25de6f.aspx" w:history="1">
        <w:r>
          <w:rPr>
            <w:rFonts w:ascii="Times New Roman" w:hAnsi="Times New Roman" w:cs="Times New Roman" w:eastAsia="Times New Roman"/>
            <w:sz w:val="24"/>
          </w:rPr>
          <w:t xml:space="preserve">Об установлении предельных розничных цен на твердое топливо, реализуемое населению Костромской области, для оказания адресных мер социальной поддержки»</w:t>
        </w:r>
      </w:hyperlink>
      <w:r>
        <w:rPr>
          <w:rFonts w:ascii="Times New Roman" w:hAnsi="Times New Roman" w:cs="Times New Roman" w:eastAsia="Times New Roman"/>
          <w:sz w:val="24"/>
        </w:rPr>
        <w:t xml:space="preserve">;  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709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-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23 июня 2021 года – «Информация о результатах проверок, проведенных департаментом в 1 полугодии 2021 года»;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709"/>
        <w:jc w:val="both"/>
        <w:spacing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rPr>
          <w:rFonts w:ascii="Times New Roman" w:hAnsi="Times New Roman" w:cs="Times New Roman" w:eastAsia="Times New Roman"/>
          <w:b w:val="false"/>
          <w:color w:val="000000"/>
          <w:sz w:val="24"/>
        </w:rPr>
        <w:outlineLvl w:val="0"/>
      </w:pPr>
      <w:r>
        <w:rPr>
          <w:rFonts w:ascii="Times New Roman" w:hAnsi="Times New Roman" w:cs="Times New Roman" w:eastAsia="Times New Roman"/>
          <w:b w:val="false"/>
          <w:color w:val="000000"/>
          <w:sz w:val="24"/>
        </w:rPr>
        <w:t xml:space="preserve">- 30 июня 2021 года  -«</w:t>
      </w:r>
      <w:r>
        <w:rPr>
          <w:rFonts w:ascii="Times New Roman" w:hAnsi="Times New Roman" w:cs="Times New Roman" w:eastAsia="Times New Roman"/>
          <w:b w:val="false"/>
          <w:color w:val="000000"/>
          <w:sz w:val="24"/>
        </w:rPr>
        <w:t xml:space="preserve">Коммунальные услуги подорожают в 2021 году один раз – с 1 июля 2021 года»;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709"/>
        <w:jc w:val="both"/>
        <w:spacing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rPr>
          <w:rFonts w:ascii="Times New Roman" w:hAnsi="Times New Roman" w:cs="Times New Roman" w:eastAsia="Times New Roman"/>
          <w:b w:val="false"/>
          <w:color w:val="000000"/>
          <w:sz w:val="24"/>
        </w:rPr>
        <w:outlineLvl w:val="0"/>
      </w:pPr>
      <w:r>
        <w:rPr>
          <w:rFonts w:ascii="Times New Roman" w:hAnsi="Times New Roman" w:cs="Times New Roman" w:eastAsia="Times New Roman"/>
          <w:b w:val="false"/>
          <w:color w:val="000000"/>
          <w:sz w:val="24"/>
        </w:rPr>
        <w:t xml:space="preserve">- 30 июня 2021 года - «Обзор новелл Федерального закона от 31.07.2020 № 248-ФЗ «О государственном контроле (надзоре) </w:t>
        <w:br/>
        <w:t xml:space="preserve">и  </w:t>
      </w:r>
      <w:r>
        <w:rPr>
          <w:rFonts w:ascii="Times New Roman" w:hAnsi="Times New Roman" w:cs="Times New Roman" w:eastAsia="Times New Roman"/>
          <w:b w:val="false"/>
          <w:color w:val="000000"/>
          <w:sz w:val="24"/>
        </w:rPr>
        <w:t xml:space="preserve">му</w:t>
      </w:r>
      <w:r>
        <w:rPr>
          <w:rFonts w:ascii="Times New Roman" w:hAnsi="Times New Roman" w:cs="Times New Roman" w:eastAsia="Times New Roman"/>
          <w:b w:val="false"/>
          <w:color w:val="000000"/>
          <w:sz w:val="24"/>
        </w:rPr>
        <w:t xml:space="preserve">ниципальном контроле в Российской Федерации»;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709"/>
        <w:jc w:val="both"/>
        <w:spacing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rPr>
          <w:rFonts w:ascii="Times New Roman" w:hAnsi="Times New Roman" w:cs="Times New Roman" w:eastAsia="Times New Roman"/>
          <w:color w:val="000000"/>
          <w:sz w:val="24"/>
        </w:rPr>
        <w:outlineLvl w:val="0"/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 - 29 сентября 2021 года - «Установлены тарифы для  МКУП «Мантуровская теплоснабжающая организация» на тепловую энергию и горячее водоснабжение для потребителей городского округа город Мантурово;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709"/>
        <w:jc w:val="both"/>
        <w:spacing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rPr>
          <w:rFonts w:ascii="Times New Roman" w:hAnsi="Times New Roman" w:cs="Times New Roman" w:eastAsia="Times New Roman"/>
          <w:color w:val="000000"/>
          <w:sz w:val="24"/>
        </w:rPr>
        <w:outlineLvl w:val="0"/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 - 1 октября 2021 года - «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Об установлении тарифов на подключение к централизованным системам холодного водоснабжения и водоотведения на территории гор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одского округа город Буй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»;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709"/>
        <w:jc w:val="both"/>
        <w:spacing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rPr>
          <w:rFonts w:ascii="Times New Roman" w:hAnsi="Times New Roman" w:cs="Times New Roman" w:eastAsia="Times New Roman"/>
          <w:color w:val="000000"/>
          <w:sz w:val="24"/>
        </w:rPr>
        <w:outlineLvl w:val="0"/>
      </w:pP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- 1 октября 2021 года - «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Общественное обсуждение проекта программы профилактики рисков причинения вреда (ущерба) охраняемым законом ценностям по региональному государственному контролю (надзору) в сферах естественных монополий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и в области государственного регулирования цен (тарифов) на 2022 год»;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709"/>
        <w:jc w:val="both"/>
        <w:spacing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rPr>
          <w:rFonts w:ascii="Times New Roman" w:hAnsi="Times New Roman" w:cs="Times New Roman" w:eastAsia="Times New Roman"/>
          <w:color w:val="000000"/>
          <w:sz w:val="24"/>
        </w:rPr>
        <w:outlineLvl w:val="0"/>
      </w:pP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- 7 октября 2021 года -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«Проведено совещание по вопросу установления тарифа на тепловую эн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ергию в п. Василево Кузнецовского сельского поселения Костромского муниципального района»;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709"/>
        <w:jc w:val="both"/>
        <w:spacing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rPr>
          <w:rFonts w:ascii="Times New Roman" w:hAnsi="Times New Roman" w:cs="Times New Roman" w:eastAsia="Times New Roman"/>
          <w:sz w:val="24"/>
          <w:szCs w:val="24"/>
        </w:rPr>
        <w:outlineLvl w:val="0"/>
      </w:pP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- 8 октября 2021 года -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«Информация о результатах проверок, проведенных департаментом за 9 месяцев 2021 года»;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709"/>
        <w:jc w:val="both"/>
        <w:spacing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rPr>
          <w:rFonts w:ascii="Times New Roman" w:hAnsi="Times New Roman" w:cs="Times New Roman" w:eastAsia="Times New Roman"/>
          <w:b w:val="false"/>
          <w:color w:val="000000"/>
          <w:sz w:val="24"/>
        </w:rPr>
        <w:outlineLvl w:val="0"/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- 12 октября 2021 года -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«Информация о проведении Учебным центром «</w:t>
      </w:r>
      <w:r>
        <w:rPr>
          <w:rFonts w:ascii="Times New Roman" w:hAnsi="Times New Roman" w:cs="Times New Roman" w:eastAsia="Times New Roman"/>
          <w:b w:val="false"/>
          <w:color w:val="000000"/>
          <w:sz w:val="24"/>
        </w:rPr>
        <w:t xml:space="preserve">ЭнергоРешение» Всероссийских мероприятий в рамках курса повышения квалификации по учебной программе «Тарифное регулирование, ценообразование и технологическое присоединение в электроэнергетике»;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709"/>
        <w:jc w:val="both"/>
        <w:spacing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rPr>
          <w:rFonts w:ascii="Times New Roman" w:hAnsi="Times New Roman" w:cs="Times New Roman" w:eastAsia="Times New Roman"/>
          <w:b w:val="false"/>
          <w:color w:val="000000"/>
          <w:sz w:val="24"/>
        </w:rPr>
        <w:outlineLvl w:val="0"/>
      </w:pPr>
      <w:r>
        <w:rPr>
          <w:rFonts w:ascii="Times New Roman" w:hAnsi="Times New Roman" w:cs="Times New Roman" w:eastAsia="Times New Roman"/>
          <w:b w:val="false"/>
          <w:color w:val="000000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- 14 октября 2021 года -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000000"/>
          <w:sz w:val="24"/>
        </w:rPr>
        <w:t xml:space="preserve">«</w:t>
      </w:r>
      <w:r>
        <w:rPr>
          <w:rFonts w:ascii="Times New Roman" w:hAnsi="Times New Roman" w:cs="Times New Roman" w:eastAsia="Times New Roman"/>
          <w:b w:val="false"/>
          <w:color w:val="000000"/>
          <w:sz w:val="24"/>
        </w:rPr>
        <w:t xml:space="preserve">П</w:t>
      </w:r>
      <w:r>
        <w:rPr>
          <w:rFonts w:ascii="Times New Roman" w:hAnsi="Times New Roman" w:cs="Times New Roman" w:eastAsia="Times New Roman"/>
          <w:b w:val="false"/>
          <w:color w:val="000000"/>
          <w:sz w:val="24"/>
        </w:rPr>
        <w:t xml:space="preserve">роцедура технологического присоединения для садоводов к электрическим сетям станет проще и доступнее»;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709"/>
        <w:jc w:val="both"/>
        <w:spacing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rPr>
          <w:rFonts w:ascii="Times New Roman" w:hAnsi="Times New Roman" w:cs="Times New Roman" w:eastAsia="Times New Roman"/>
          <w:b w:val="false"/>
          <w:color w:val="000000"/>
          <w:sz w:val="24"/>
        </w:rPr>
        <w:outlineLvl w:val="0"/>
      </w:pPr>
      <w:r>
        <w:rPr>
          <w:rFonts w:ascii="Times New Roman" w:hAnsi="Times New Roman" w:cs="Times New Roman" w:eastAsia="Times New Roman"/>
          <w:b w:val="false"/>
          <w:color w:val="000000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- 29 октября 2021 года -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000000"/>
          <w:sz w:val="24"/>
        </w:rPr>
        <w:t xml:space="preserve">«</w:t>
      </w:r>
      <w:r>
        <w:rPr>
          <w:rFonts w:ascii="Times New Roman" w:hAnsi="Times New Roman" w:cs="Times New Roman" w:eastAsia="Times New Roman"/>
          <w:b w:val="false"/>
          <w:color w:val="000000"/>
          <w:sz w:val="24"/>
        </w:rPr>
        <w:t xml:space="preserve">Информация о территориальных сетевых организациях, в отношении которых устанавливаются (пересматриваются) цены (тарифы) на услуги по передаче электрической энергии на очередной расчетный период регулирования»;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709"/>
        <w:jc w:val="both"/>
        <w:spacing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rPr>
          <w:rFonts w:ascii="Times New Roman" w:hAnsi="Times New Roman" w:cs="Times New Roman" w:eastAsia="Times New Roman"/>
          <w:b w:val="false"/>
          <w:color w:val="000000"/>
          <w:sz w:val="24"/>
        </w:rPr>
        <w:outlineLvl w:val="0"/>
      </w:pPr>
      <w:r>
        <w:rPr>
          <w:rFonts w:ascii="Times New Roman" w:hAnsi="Times New Roman" w:cs="Times New Roman" w:eastAsia="Times New Roman"/>
          <w:b w:val="false"/>
          <w:color w:val="000000"/>
          <w:sz w:val="24"/>
        </w:rPr>
        <w:t xml:space="preserve">- 2 ноября 2021 года - «</w:t>
      </w:r>
      <w:r>
        <w:rPr>
          <w:rFonts w:ascii="Times New Roman" w:hAnsi="Times New Roman" w:cs="Times New Roman" w:eastAsia="Times New Roman"/>
          <w:b w:val="false"/>
          <w:color w:val="000000"/>
          <w:sz w:val="24"/>
        </w:rPr>
        <w:t xml:space="preserve">Правительством Российской Федерации утверждены индексы изменения размера вносимой гражданами платы за коммунальные услуги в среднем по субъектам Российской Федерации на 2022 год»;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709"/>
        <w:jc w:val="both"/>
        <w:spacing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rPr>
          <w:rFonts w:ascii="Times New Roman" w:hAnsi="Times New Roman" w:cs="Times New Roman" w:eastAsia="Times New Roman"/>
          <w:b w:val="false"/>
          <w:color w:val="000000"/>
          <w:sz w:val="24"/>
        </w:rPr>
        <w:outlineLvl w:val="0"/>
      </w:pPr>
      <w:r>
        <w:rPr>
          <w:rFonts w:ascii="Times New Roman" w:hAnsi="Times New Roman" w:cs="Times New Roman" w:eastAsia="Times New Roman"/>
          <w:b w:val="false"/>
          <w:color w:val="000000"/>
          <w:sz w:val="24"/>
        </w:rPr>
        <w:t xml:space="preserve"> - 10 ноября 2021 года - </w:t>
      </w:r>
      <w:r>
        <w:rPr>
          <w:rFonts w:ascii="Times New Roman" w:hAnsi="Times New Roman" w:cs="Times New Roman" w:eastAsia="Times New Roman"/>
          <w:b w:val="false"/>
          <w:color w:val="000000"/>
          <w:sz w:val="24"/>
        </w:rPr>
        <w:t xml:space="preserve">«</w:t>
      </w:r>
      <w:r>
        <w:rPr>
          <w:rFonts w:ascii="Times New Roman" w:hAnsi="Times New Roman" w:cs="Times New Roman" w:eastAsia="Times New Roman"/>
          <w:b w:val="false"/>
          <w:color w:val="000000"/>
          <w:sz w:val="24"/>
        </w:rPr>
        <w:t xml:space="preserve">Проведено совещание по вопросу установления тарифов на водоснабжение и водоотведение для ООО «Тепловодоканал» на 2022 год»;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709"/>
        <w:jc w:val="both"/>
        <w:spacing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rPr>
          <w:rFonts w:ascii="Times New Roman" w:hAnsi="Times New Roman" w:cs="Times New Roman" w:eastAsia="Times New Roman"/>
          <w:b w:val="false"/>
          <w:color w:val="000000"/>
          <w:sz w:val="24"/>
        </w:rPr>
        <w:outlineLvl w:val="0"/>
      </w:pPr>
      <w:r>
        <w:rPr>
          <w:rFonts w:ascii="Times New Roman" w:hAnsi="Times New Roman" w:cs="Times New Roman" w:eastAsia="Times New Roman"/>
          <w:b w:val="false"/>
          <w:color w:val="000000"/>
          <w:sz w:val="24"/>
        </w:rPr>
      </w:r>
      <w:r>
        <w:rPr>
          <w:rFonts w:ascii="Times New Roman" w:hAnsi="Times New Roman" w:cs="Times New Roman" w:eastAsia="Times New Roman"/>
          <w:b w:val="false"/>
          <w:color w:val="000000"/>
          <w:sz w:val="24"/>
        </w:rPr>
        <w:t xml:space="preserve"> - 19 ноября 2021 года -</w:t>
      </w:r>
      <w:r>
        <w:rPr>
          <w:rFonts w:ascii="Times New Roman" w:hAnsi="Times New Roman" w:cs="Times New Roman" w:eastAsia="Times New Roman"/>
          <w:b w:val="false"/>
          <w:color w:val="000000"/>
          <w:sz w:val="24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000000"/>
          <w:sz w:val="24"/>
        </w:rPr>
        <w:t xml:space="preserve">«</w:t>
      </w:r>
      <w:r>
        <w:rPr>
          <w:rFonts w:ascii="Times New Roman" w:hAnsi="Times New Roman" w:cs="Times New Roman" w:eastAsia="Times New Roman"/>
          <w:b w:val="false"/>
          <w:color w:val="000000"/>
          <w:sz w:val="24"/>
        </w:rPr>
        <w:t xml:space="preserve">Рекомендации работодателям по предоставлению работникам, проходящим вакцинацию против новой коронавирусной инфекции, двух оплачиваемых дополнительных дней отдыха»;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709"/>
        <w:jc w:val="both"/>
        <w:spacing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rPr>
          <w:rFonts w:ascii="Times New Roman" w:hAnsi="Times New Roman" w:cs="Times New Roman" w:eastAsia="Times New Roman"/>
          <w:b w:val="false"/>
          <w:color w:val="000000"/>
          <w:sz w:val="24"/>
        </w:rPr>
        <w:outlineLvl w:val="0"/>
      </w:pPr>
      <w:r>
        <w:rPr>
          <w:rFonts w:ascii="Times New Roman" w:hAnsi="Times New Roman" w:cs="Times New Roman" w:eastAsia="Times New Roman"/>
          <w:b w:val="false"/>
          <w:color w:val="000000"/>
          <w:sz w:val="24"/>
        </w:rPr>
        <w:t xml:space="preserve"> - 25 ноября 2021 года - «Об итогах проведенных публичных обсуждений результатов правоприменительной практики»;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709"/>
        <w:jc w:val="both"/>
        <w:spacing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rPr>
          <w:rFonts w:ascii="Times New Roman" w:hAnsi="Times New Roman" w:cs="Times New Roman" w:eastAsia="Times New Roman"/>
          <w:b w:val="false"/>
          <w:color w:val="000000"/>
          <w:sz w:val="24"/>
        </w:rPr>
        <w:outlineLvl w:val="0"/>
      </w:pPr>
      <w:r>
        <w:rPr>
          <w:rFonts w:ascii="Times New Roman" w:hAnsi="Times New Roman" w:cs="Times New Roman" w:eastAsia="Times New Roman"/>
          <w:b w:val="false"/>
          <w:color w:val="000000"/>
          <w:sz w:val="24"/>
        </w:rPr>
        <w:t xml:space="preserve"> - 1 декабря 2021 года -</w:t>
      </w:r>
      <w:r>
        <w:rPr>
          <w:rFonts w:ascii="Times New Roman" w:hAnsi="Times New Roman" w:cs="Times New Roman" w:eastAsia="Times New Roman"/>
          <w:b w:val="false"/>
          <w:color w:val="000000"/>
          <w:sz w:val="24"/>
        </w:rPr>
        <w:t xml:space="preserve"> «</w:t>
      </w:r>
      <w:r>
        <w:rPr>
          <w:rFonts w:ascii="Times New Roman" w:hAnsi="Times New Roman" w:cs="Times New Roman" w:eastAsia="Times New Roman"/>
          <w:b w:val="false"/>
          <w:color w:val="000000"/>
          <w:sz w:val="24"/>
        </w:rPr>
        <w:t xml:space="preserve">Постановлением губернатора Костромской области утверждены предельные (максимальные) индексы изменения размера вносимой гражданами платы за коммунальные услуги в муниципальных образованиях Костромской области </w:t>
        <w:br/>
        <w:t xml:space="preserve">на 2022 год»;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709"/>
        <w:jc w:val="both"/>
        <w:spacing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rPr>
          <w:rFonts w:ascii="Times New Roman" w:hAnsi="Times New Roman" w:cs="Times New Roman" w:eastAsia="Times New Roman"/>
          <w:b w:val="false"/>
          <w:color w:val="000000"/>
          <w:sz w:val="24"/>
        </w:rPr>
        <w:outlineLvl w:val="0"/>
      </w:pPr>
      <w:r>
        <w:rPr>
          <w:rFonts w:ascii="Times New Roman" w:hAnsi="Times New Roman" w:cs="Times New Roman" w:eastAsia="Times New Roman"/>
          <w:b w:val="false"/>
          <w:color w:val="000000"/>
          <w:sz w:val="24"/>
        </w:rPr>
      </w:r>
      <w:r>
        <w:rPr>
          <w:rFonts w:ascii="Times New Roman" w:hAnsi="Times New Roman" w:cs="Times New Roman" w:eastAsia="Times New Roman"/>
          <w:b w:val="false"/>
          <w:color w:val="000000"/>
          <w:sz w:val="24"/>
        </w:rPr>
        <w:t xml:space="preserve"> - 3 декабря 2021 года -</w:t>
      </w:r>
      <w:r>
        <w:rPr>
          <w:rFonts w:ascii="Times New Roman" w:hAnsi="Times New Roman" w:cs="Times New Roman" w:eastAsia="Times New Roman"/>
          <w:b w:val="false"/>
          <w:color w:val="000000"/>
          <w:sz w:val="24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000000"/>
          <w:sz w:val="24"/>
        </w:rPr>
        <w:t xml:space="preserve">«</w:t>
      </w:r>
      <w:r>
        <w:rPr>
          <w:rFonts w:ascii="Times New Roman" w:hAnsi="Times New Roman" w:cs="Times New Roman" w:eastAsia="Times New Roman"/>
          <w:b w:val="false"/>
          <w:color w:val="000000"/>
          <w:sz w:val="24"/>
        </w:rPr>
        <w:t xml:space="preserve">Утверждены показатели сводного прогнозного баланса по электрической энергии (мощности) по Костромской области»;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709"/>
        <w:jc w:val="both"/>
        <w:spacing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rPr>
          <w:rFonts w:ascii="Times New Roman" w:hAnsi="Times New Roman" w:cs="Times New Roman" w:eastAsia="Times New Roman"/>
          <w:b w:val="false"/>
          <w:color w:val="000000"/>
          <w:sz w:val="24"/>
        </w:rPr>
        <w:outlineLvl w:val="0"/>
      </w:pPr>
      <w:r>
        <w:rPr>
          <w:rFonts w:ascii="Times New Roman" w:hAnsi="Times New Roman" w:cs="Times New Roman" w:eastAsia="Times New Roman"/>
          <w:b w:val="false"/>
          <w:color w:val="000000"/>
          <w:sz w:val="24"/>
        </w:rPr>
        <w:t xml:space="preserve"> - 6 декабря 2021 года -</w:t>
      </w:r>
      <w:r>
        <w:rPr>
          <w:rFonts w:ascii="Times New Roman" w:hAnsi="Times New Roman" w:cs="Times New Roman" w:eastAsia="Times New Roman"/>
          <w:b w:val="false"/>
          <w:color w:val="000000"/>
          <w:sz w:val="24"/>
        </w:rPr>
        <w:t xml:space="preserve"> «</w:t>
      </w:r>
      <w:r>
        <w:rPr>
          <w:rFonts w:ascii="Times New Roman" w:hAnsi="Times New Roman" w:cs="Times New Roman" w:eastAsia="Times New Roman"/>
          <w:b w:val="false"/>
          <w:color w:val="000000"/>
          <w:sz w:val="24"/>
        </w:rPr>
        <w:t xml:space="preserve">Правительством определены критерии для сетевых и транзитных организаций в сфере тепло-, водоснабжения и водоотведения»;</w:t>
      </w:r>
      <w:r>
        <w:rPr>
          <w:rFonts w:ascii="Times New Roman" w:hAnsi="Times New Roman" w:cs="Times New Roman" w:eastAsia="Times New Roman"/>
          <w:b w:val="false"/>
          <w:color w:val="000000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709"/>
        <w:jc w:val="both"/>
        <w:spacing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rPr>
          <w:rFonts w:ascii="Times New Roman" w:hAnsi="Times New Roman" w:cs="Times New Roman" w:eastAsia="Times New Roman"/>
          <w:b w:val="false"/>
          <w:color w:val="000000"/>
          <w:sz w:val="24"/>
        </w:rPr>
        <w:outlineLvl w:val="0"/>
      </w:pPr>
      <w:r>
        <w:rPr>
          <w:rFonts w:ascii="Times New Roman" w:hAnsi="Times New Roman" w:cs="Times New Roman" w:eastAsia="Times New Roman"/>
          <w:b w:val="false"/>
          <w:color w:val="000000"/>
          <w:sz w:val="24"/>
        </w:rPr>
        <w:t xml:space="preserve">- 7 декабря 2021 года -</w:t>
      </w:r>
      <w:r>
        <w:rPr>
          <w:rFonts w:ascii="Times New Roman" w:hAnsi="Times New Roman" w:cs="Times New Roman" w:eastAsia="Times New Roman"/>
          <w:b w:val="false"/>
          <w:color w:val="000000"/>
          <w:sz w:val="24"/>
        </w:rPr>
        <w:t xml:space="preserve"> «</w:t>
      </w:r>
      <w:r>
        <w:rPr>
          <w:rFonts w:ascii="Times New Roman" w:hAnsi="Times New Roman" w:cs="Times New Roman" w:eastAsia="Times New Roman"/>
          <w:b w:val="false"/>
          <w:color w:val="000000"/>
          <w:sz w:val="24"/>
        </w:rPr>
        <w:t xml:space="preserve">Принята программа профилактики рисков причинения вреда (ущерба) охраняемым законом ценностям на 2022 </w:t>
      </w:r>
      <w:r>
        <w:rPr>
          <w:rFonts w:ascii="Times New Roman" w:hAnsi="Times New Roman" w:cs="Times New Roman" w:eastAsia="Times New Roman"/>
          <w:b w:val="false"/>
          <w:color w:val="000000"/>
          <w:sz w:val="24"/>
        </w:rPr>
        <w:t xml:space="preserve">год»;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709"/>
        <w:jc w:val="both"/>
        <w:spacing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rPr>
          <w:rFonts w:ascii="Times New Roman" w:hAnsi="Times New Roman" w:cs="Times New Roman" w:eastAsia="Times New Roman"/>
          <w:b w:val="false"/>
          <w:sz w:val="24"/>
          <w:szCs w:val="24"/>
        </w:rPr>
        <w:outlineLvl w:val="0"/>
      </w:pPr>
      <w:r>
        <w:rPr>
          <w:rFonts w:ascii="Times New Roman" w:hAnsi="Times New Roman" w:cs="Times New Roman" w:eastAsia="Times New Roman"/>
          <w:b w:val="false"/>
          <w:sz w:val="24"/>
          <w:szCs w:val="24"/>
        </w:rPr>
        <w:t xml:space="preserve">- 20 декабря 2021 года - «Информация о предоставлении населению Костромской области денежной компенсации по оплате сжиженного газа в баллонах»;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709"/>
        <w:jc w:val="both"/>
        <w:spacing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rPr>
          <w:rFonts w:ascii="Times New Roman" w:hAnsi="Times New Roman" w:cs="Times New Roman" w:eastAsia="Times New Roman"/>
          <w:b w:val="false"/>
          <w:sz w:val="24"/>
          <w:szCs w:val="24"/>
        </w:rPr>
        <w:outlineLvl w:val="0"/>
      </w:pPr>
      <w:r>
        <w:rPr>
          <w:rFonts w:ascii="Times New Roman" w:hAnsi="Times New Roman" w:cs="Times New Roman" w:eastAsia="Times New Roman"/>
          <w:b w:val="false"/>
          <w:sz w:val="24"/>
          <w:szCs w:val="24"/>
        </w:rPr>
        <w:t xml:space="preserve">- 24 декабря 2021 года</w:t>
      </w:r>
      <w:r>
        <w:rPr>
          <w:rFonts w:ascii="Times New Roman" w:hAnsi="Times New Roman" w:cs="Times New Roman" w:eastAsia="Times New Roman"/>
          <w:b w:val="false"/>
          <w:sz w:val="24"/>
          <w:szCs w:val="24"/>
        </w:rPr>
        <w:t xml:space="preserve"> - «Изменение правил подключения к коммунальным сетям в 2022 году».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78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*****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Иным способом: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78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78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78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78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cs="Times New Roman" w:eastAsia="Times New Roman"/>
          <w:sz w:val="24"/>
        </w:rPr>
      </w:r>
    </w:p>
    <w:sectPr>
      <w:footnotePr/>
      <w:endnotePr/>
      <w:type w:val="nextPage"/>
      <w:pgSz w:w="16838" w:h="11906" w:orient="landscape"/>
      <w:pgMar w:top="1134" w:right="851" w:bottom="1134" w:left="1418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</w:p>
  </w:endnote>
  <w:endnote w:type="continuationSeparator" w:id="0">
    <w:p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Calibri">
    <w:panose1 w:val="020F0502020204030204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</w:p>
  </w:footnote>
  <w:footnote w:type="continuationSeparator" w:id="0">
    <w:p>
      <w:pPr>
        <w:spacing w:lineRule="auto" w:line="24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501">
    <w:name w:val="Heading 1"/>
    <w:link w:val="50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502">
    <w:name w:val="Heading 1 Char"/>
    <w:link w:val="501"/>
    <w:uiPriority w:val="9"/>
    <w:rPr>
      <w:rFonts w:ascii="Arial" w:hAnsi="Arial" w:cs="Arial" w:eastAsia="Arial"/>
      <w:sz w:val="40"/>
      <w:szCs w:val="40"/>
    </w:rPr>
  </w:style>
  <w:style w:type="paragraph" w:styleId="503">
    <w:name w:val="Heading 2"/>
    <w:link w:val="50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504">
    <w:name w:val="Heading 2 Char"/>
    <w:link w:val="503"/>
    <w:uiPriority w:val="9"/>
    <w:rPr>
      <w:rFonts w:ascii="Arial" w:hAnsi="Arial" w:cs="Arial" w:eastAsia="Arial"/>
      <w:sz w:val="34"/>
    </w:rPr>
  </w:style>
  <w:style w:type="paragraph" w:styleId="505">
    <w:name w:val="Heading 3"/>
    <w:link w:val="50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506">
    <w:name w:val="Heading 3 Char"/>
    <w:link w:val="505"/>
    <w:uiPriority w:val="9"/>
    <w:rPr>
      <w:rFonts w:ascii="Arial" w:hAnsi="Arial" w:cs="Arial" w:eastAsia="Arial"/>
      <w:sz w:val="30"/>
      <w:szCs w:val="30"/>
    </w:rPr>
  </w:style>
  <w:style w:type="paragraph" w:styleId="507">
    <w:name w:val="Heading 4"/>
    <w:link w:val="50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508">
    <w:name w:val="Heading 4 Char"/>
    <w:link w:val="507"/>
    <w:uiPriority w:val="9"/>
    <w:rPr>
      <w:rFonts w:ascii="Arial" w:hAnsi="Arial" w:cs="Arial" w:eastAsia="Arial"/>
      <w:b/>
      <w:bCs/>
      <w:sz w:val="26"/>
      <w:szCs w:val="26"/>
    </w:rPr>
  </w:style>
  <w:style w:type="paragraph" w:styleId="509">
    <w:name w:val="Heading 5"/>
    <w:link w:val="51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510">
    <w:name w:val="Heading 5 Char"/>
    <w:link w:val="509"/>
    <w:uiPriority w:val="9"/>
    <w:rPr>
      <w:rFonts w:ascii="Arial" w:hAnsi="Arial" w:cs="Arial" w:eastAsia="Arial"/>
      <w:b/>
      <w:bCs/>
      <w:sz w:val="24"/>
      <w:szCs w:val="24"/>
    </w:rPr>
  </w:style>
  <w:style w:type="paragraph" w:styleId="511">
    <w:name w:val="Heading 6"/>
    <w:link w:val="51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512">
    <w:name w:val="Heading 6 Char"/>
    <w:link w:val="511"/>
    <w:uiPriority w:val="9"/>
    <w:rPr>
      <w:rFonts w:ascii="Arial" w:hAnsi="Arial" w:cs="Arial" w:eastAsia="Arial"/>
      <w:b/>
      <w:bCs/>
      <w:sz w:val="22"/>
      <w:szCs w:val="22"/>
    </w:rPr>
  </w:style>
  <w:style w:type="paragraph" w:styleId="513">
    <w:name w:val="Heading 7"/>
    <w:link w:val="51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514">
    <w:name w:val="Heading 7 Char"/>
    <w:link w:val="51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15">
    <w:name w:val="Heading 8"/>
    <w:link w:val="51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516">
    <w:name w:val="Heading 8 Char"/>
    <w:link w:val="515"/>
    <w:uiPriority w:val="9"/>
    <w:rPr>
      <w:rFonts w:ascii="Arial" w:hAnsi="Arial" w:cs="Arial" w:eastAsia="Arial"/>
      <w:i/>
      <w:iCs/>
      <w:sz w:val="22"/>
      <w:szCs w:val="22"/>
    </w:rPr>
  </w:style>
  <w:style w:type="paragraph" w:styleId="517">
    <w:name w:val="Heading 9"/>
    <w:link w:val="51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18">
    <w:name w:val="Heading 9 Char"/>
    <w:link w:val="517"/>
    <w:uiPriority w:val="9"/>
    <w:rPr>
      <w:rFonts w:ascii="Arial" w:hAnsi="Arial" w:cs="Arial" w:eastAsia="Arial"/>
      <w:i/>
      <w:iCs/>
      <w:sz w:val="21"/>
      <w:szCs w:val="21"/>
    </w:rPr>
  </w:style>
  <w:style w:type="paragraph" w:styleId="519">
    <w:name w:val="List Paragraph"/>
    <w:qFormat/>
    <w:uiPriority w:val="34"/>
    <w:pPr>
      <w:contextualSpacing w:val="true"/>
      <w:ind w:left="720"/>
    </w:pPr>
  </w:style>
  <w:style w:type="paragraph" w:styleId="520">
    <w:name w:val="No Spacing"/>
    <w:qFormat/>
    <w:uiPriority w:val="1"/>
    <w:pPr>
      <w:spacing w:lineRule="auto" w:line="240" w:after="0" w:before="0"/>
    </w:pPr>
  </w:style>
  <w:style w:type="paragraph" w:styleId="521">
    <w:name w:val="Title"/>
    <w:link w:val="52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22">
    <w:name w:val="Title Char"/>
    <w:link w:val="521"/>
    <w:uiPriority w:val="10"/>
    <w:rPr>
      <w:sz w:val="48"/>
      <w:szCs w:val="48"/>
    </w:rPr>
  </w:style>
  <w:style w:type="paragraph" w:styleId="523">
    <w:name w:val="Subtitle"/>
    <w:link w:val="524"/>
    <w:qFormat/>
    <w:uiPriority w:val="11"/>
    <w:rPr>
      <w:sz w:val="24"/>
      <w:szCs w:val="24"/>
    </w:rPr>
    <w:pPr>
      <w:spacing w:after="200" w:before="200"/>
    </w:pPr>
  </w:style>
  <w:style w:type="character" w:styleId="524">
    <w:name w:val="Subtitle Char"/>
    <w:link w:val="523"/>
    <w:uiPriority w:val="11"/>
    <w:rPr>
      <w:sz w:val="24"/>
      <w:szCs w:val="24"/>
    </w:rPr>
  </w:style>
  <w:style w:type="paragraph" w:styleId="525">
    <w:name w:val="Quote"/>
    <w:link w:val="526"/>
    <w:qFormat/>
    <w:uiPriority w:val="29"/>
    <w:rPr>
      <w:i/>
    </w:rPr>
    <w:pPr>
      <w:ind w:left="720" w:right="720"/>
    </w:pPr>
  </w:style>
  <w:style w:type="character" w:styleId="526">
    <w:name w:val="Quote Char"/>
    <w:link w:val="525"/>
    <w:uiPriority w:val="29"/>
    <w:rPr>
      <w:i/>
    </w:rPr>
  </w:style>
  <w:style w:type="paragraph" w:styleId="527">
    <w:name w:val="Intense Quote"/>
    <w:link w:val="528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28">
    <w:name w:val="Intense Quote Char"/>
    <w:link w:val="527"/>
    <w:uiPriority w:val="30"/>
    <w:rPr>
      <w:i/>
    </w:rPr>
  </w:style>
  <w:style w:type="paragraph" w:styleId="529">
    <w:name w:val="Header"/>
    <w:link w:val="53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30">
    <w:name w:val="Header Char"/>
    <w:link w:val="529"/>
    <w:uiPriority w:val="99"/>
  </w:style>
  <w:style w:type="paragraph" w:styleId="531">
    <w:name w:val="Footer"/>
    <w:link w:val="53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32">
    <w:name w:val="Footer Char"/>
    <w:link w:val="531"/>
    <w:uiPriority w:val="99"/>
  </w:style>
  <w:style w:type="paragraph" w:styleId="533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534">
    <w:name w:val="Caption Char"/>
    <w:basedOn w:val="533"/>
    <w:link w:val="531"/>
    <w:uiPriority w:val="99"/>
  </w:style>
  <w:style w:type="table" w:styleId="535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6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7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38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39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40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42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9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50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51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2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53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4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55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56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7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8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9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0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1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2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3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64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65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66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67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68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69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70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71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72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73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74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75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76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77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78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79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80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81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82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83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84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85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86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87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88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89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90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91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92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93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94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95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96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97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98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99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600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601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602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603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604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605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6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7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8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9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0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1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2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3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4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5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6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7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8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9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0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1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2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3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4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5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6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27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628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629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630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631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632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33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34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635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636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637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638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639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640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41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42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43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44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45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46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47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48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49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50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51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52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53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54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55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56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57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58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59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60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61">
    <w:name w:val="Hyperlink"/>
    <w:uiPriority w:val="99"/>
    <w:unhideWhenUsed/>
    <w:rPr>
      <w:color w:val="0000FF" w:themeColor="hyperlink"/>
      <w:u w:val="single"/>
    </w:rPr>
  </w:style>
  <w:style w:type="paragraph" w:styleId="662">
    <w:name w:val="footnote text"/>
    <w:link w:val="663"/>
    <w:uiPriority w:val="99"/>
    <w:semiHidden/>
    <w:unhideWhenUsed/>
    <w:rPr>
      <w:sz w:val="18"/>
    </w:rPr>
    <w:pPr>
      <w:spacing w:lineRule="auto" w:line="240" w:after="40"/>
    </w:pPr>
  </w:style>
  <w:style w:type="character" w:styleId="663">
    <w:name w:val="Footnote Text Char"/>
    <w:link w:val="662"/>
    <w:uiPriority w:val="99"/>
    <w:rPr>
      <w:sz w:val="18"/>
    </w:rPr>
  </w:style>
  <w:style w:type="character" w:styleId="664">
    <w:name w:val="footnote reference"/>
    <w:uiPriority w:val="99"/>
    <w:unhideWhenUsed/>
    <w:rPr>
      <w:vertAlign w:val="superscript"/>
    </w:rPr>
  </w:style>
  <w:style w:type="paragraph" w:styleId="665">
    <w:name w:val="endnote text"/>
    <w:link w:val="666"/>
    <w:uiPriority w:val="99"/>
    <w:semiHidden/>
    <w:unhideWhenUsed/>
    <w:rPr>
      <w:sz w:val="20"/>
    </w:rPr>
    <w:pPr>
      <w:spacing w:lineRule="auto" w:line="240" w:after="0"/>
    </w:pPr>
  </w:style>
  <w:style w:type="character" w:styleId="666">
    <w:name w:val="Endnote Text Char"/>
    <w:link w:val="665"/>
    <w:uiPriority w:val="99"/>
    <w:rPr>
      <w:sz w:val="20"/>
    </w:rPr>
  </w:style>
  <w:style w:type="character" w:styleId="667">
    <w:name w:val="endnote reference"/>
    <w:uiPriority w:val="99"/>
    <w:semiHidden/>
    <w:unhideWhenUsed/>
    <w:rPr>
      <w:vertAlign w:val="superscript"/>
    </w:rPr>
  </w:style>
  <w:style w:type="paragraph" w:styleId="668">
    <w:name w:val="toc 1"/>
    <w:uiPriority w:val="39"/>
    <w:unhideWhenUsed/>
    <w:pPr>
      <w:ind w:left="0" w:right="0" w:firstLine="0"/>
      <w:spacing w:after="57"/>
    </w:pPr>
  </w:style>
  <w:style w:type="paragraph" w:styleId="669">
    <w:name w:val="toc 2"/>
    <w:uiPriority w:val="39"/>
    <w:unhideWhenUsed/>
    <w:pPr>
      <w:ind w:left="283" w:right="0" w:firstLine="0"/>
      <w:spacing w:after="57"/>
    </w:pPr>
  </w:style>
  <w:style w:type="paragraph" w:styleId="670">
    <w:name w:val="toc 3"/>
    <w:uiPriority w:val="39"/>
    <w:unhideWhenUsed/>
    <w:pPr>
      <w:ind w:left="567" w:right="0" w:firstLine="0"/>
      <w:spacing w:after="57"/>
    </w:pPr>
  </w:style>
  <w:style w:type="paragraph" w:styleId="671">
    <w:name w:val="toc 4"/>
    <w:uiPriority w:val="39"/>
    <w:unhideWhenUsed/>
    <w:pPr>
      <w:ind w:left="850" w:right="0" w:firstLine="0"/>
      <w:spacing w:after="57"/>
    </w:pPr>
  </w:style>
  <w:style w:type="paragraph" w:styleId="672">
    <w:name w:val="toc 5"/>
    <w:uiPriority w:val="39"/>
    <w:unhideWhenUsed/>
    <w:pPr>
      <w:ind w:left="1134" w:right="0" w:firstLine="0"/>
      <w:spacing w:after="57"/>
    </w:pPr>
  </w:style>
  <w:style w:type="paragraph" w:styleId="673">
    <w:name w:val="toc 6"/>
    <w:uiPriority w:val="39"/>
    <w:unhideWhenUsed/>
    <w:pPr>
      <w:ind w:left="1417" w:right="0" w:firstLine="0"/>
      <w:spacing w:after="57"/>
    </w:pPr>
  </w:style>
  <w:style w:type="paragraph" w:styleId="674">
    <w:name w:val="toc 7"/>
    <w:uiPriority w:val="39"/>
    <w:unhideWhenUsed/>
    <w:pPr>
      <w:ind w:left="1701" w:right="0" w:firstLine="0"/>
      <w:spacing w:after="57"/>
    </w:pPr>
  </w:style>
  <w:style w:type="paragraph" w:styleId="675">
    <w:name w:val="toc 8"/>
    <w:uiPriority w:val="39"/>
    <w:unhideWhenUsed/>
    <w:pPr>
      <w:ind w:left="1984" w:right="0" w:firstLine="0"/>
      <w:spacing w:after="57"/>
    </w:pPr>
  </w:style>
  <w:style w:type="paragraph" w:styleId="676">
    <w:name w:val="toc 9"/>
    <w:uiPriority w:val="39"/>
    <w:unhideWhenUsed/>
    <w:pPr>
      <w:ind w:left="2268" w:right="0" w:firstLine="0"/>
      <w:spacing w:after="57"/>
    </w:pPr>
  </w:style>
  <w:style w:type="paragraph" w:styleId="677">
    <w:name w:val="TOC Heading"/>
    <w:uiPriority w:val="39"/>
    <w:unhideWhenUsed/>
  </w:style>
  <w:style w:type="paragraph" w:styleId="678">
    <w:name w:val="Обычный"/>
    <w:next w:val="678"/>
    <w:link w:val="678"/>
    <w:rPr>
      <w:rFonts w:ascii="Calibri" w:hAnsi="Calibri"/>
      <w:sz w:val="22"/>
      <w:szCs w:val="22"/>
      <w:lang w:val="ru-RU" w:bidi="ar-SA" w:eastAsia="ar-SA"/>
    </w:rPr>
    <w:pPr>
      <w:spacing w:lineRule="auto" w:line="276" w:after="200"/>
    </w:pPr>
  </w:style>
  <w:style w:type="paragraph" w:styleId="679">
    <w:name w:val="Заголовок 1"/>
    <w:basedOn w:val="678"/>
    <w:next w:val="679"/>
    <w:link w:val="711"/>
    <w:rPr>
      <w:rFonts w:ascii="Times New Roman" w:hAnsi="Times New Roman"/>
      <w:b/>
      <w:bCs/>
      <w:sz w:val="48"/>
      <w:szCs w:val="48"/>
      <w:lang w:eastAsia="ru-RU"/>
    </w:rPr>
    <w:pPr>
      <w:spacing w:lineRule="auto" w:line="240" w:after="100" w:afterAutospacing="1" w:before="100" w:beforeAutospacing="1"/>
      <w:outlineLvl w:val="0"/>
    </w:pPr>
  </w:style>
  <w:style w:type="character" w:styleId="680">
    <w:name w:val="Основной шрифт абзаца"/>
    <w:next w:val="680"/>
    <w:link w:val="678"/>
    <w:semiHidden/>
  </w:style>
  <w:style w:type="table" w:styleId="681">
    <w:name w:val="Обычная таблица"/>
    <w:next w:val="681"/>
    <w:link w:val="678"/>
    <w:semiHidden/>
    <w:tblPr/>
  </w:style>
  <w:style w:type="numbering" w:styleId="682">
    <w:name w:val="Нет списка"/>
    <w:next w:val="682"/>
    <w:link w:val="678"/>
    <w:semiHidden/>
  </w:style>
  <w:style w:type="character" w:styleId="683">
    <w:name w:val="WW8Num1z0"/>
    <w:next w:val="683"/>
    <w:link w:val="678"/>
    <w:rPr>
      <w:rFonts w:ascii="Symbol" w:hAnsi="Symbol" w:eastAsia="Times New Roman"/>
      <w:b/>
    </w:rPr>
  </w:style>
  <w:style w:type="character" w:styleId="684">
    <w:name w:val="WW8Num1z1"/>
    <w:next w:val="684"/>
    <w:link w:val="678"/>
    <w:rPr>
      <w:rFonts w:ascii="Courier New" w:hAnsi="Courier New"/>
    </w:rPr>
  </w:style>
  <w:style w:type="character" w:styleId="685">
    <w:name w:val="WW8Num1z2"/>
    <w:next w:val="685"/>
    <w:link w:val="678"/>
    <w:rPr>
      <w:rFonts w:ascii="Wingdings" w:hAnsi="Wingdings"/>
    </w:rPr>
  </w:style>
  <w:style w:type="character" w:styleId="686">
    <w:name w:val="WW8Num1z3"/>
    <w:next w:val="686"/>
    <w:link w:val="678"/>
    <w:rPr>
      <w:rFonts w:ascii="Symbol" w:hAnsi="Symbol"/>
    </w:rPr>
  </w:style>
  <w:style w:type="character" w:styleId="687">
    <w:name w:val="WW8Num2z0"/>
    <w:next w:val="687"/>
    <w:link w:val="678"/>
  </w:style>
  <w:style w:type="character" w:styleId="688">
    <w:name w:val="WW8Num2z1"/>
    <w:next w:val="688"/>
    <w:link w:val="678"/>
  </w:style>
  <w:style w:type="character" w:styleId="689">
    <w:name w:val="WW8Num2z2"/>
    <w:next w:val="689"/>
    <w:link w:val="678"/>
  </w:style>
  <w:style w:type="character" w:styleId="690">
    <w:name w:val="WW8Num2z3"/>
    <w:next w:val="690"/>
    <w:link w:val="678"/>
  </w:style>
  <w:style w:type="character" w:styleId="691">
    <w:name w:val="WW8Num2z4"/>
    <w:next w:val="691"/>
    <w:link w:val="678"/>
  </w:style>
  <w:style w:type="character" w:styleId="692">
    <w:name w:val="WW8Num2z5"/>
    <w:next w:val="692"/>
    <w:link w:val="678"/>
  </w:style>
  <w:style w:type="character" w:styleId="693">
    <w:name w:val="WW8Num2z6"/>
    <w:next w:val="693"/>
    <w:link w:val="678"/>
  </w:style>
  <w:style w:type="character" w:styleId="694">
    <w:name w:val="WW8Num2z7"/>
    <w:next w:val="694"/>
    <w:link w:val="678"/>
  </w:style>
  <w:style w:type="character" w:styleId="695">
    <w:name w:val="WW8Num2z8"/>
    <w:next w:val="695"/>
    <w:link w:val="678"/>
  </w:style>
  <w:style w:type="character" w:styleId="696">
    <w:name w:val="WW8Num3z0"/>
    <w:next w:val="696"/>
    <w:link w:val="678"/>
    <w:rPr>
      <w:rFonts w:ascii="Symbol" w:hAnsi="Symbol" w:eastAsia="Times New Roman"/>
    </w:rPr>
  </w:style>
  <w:style w:type="character" w:styleId="697">
    <w:name w:val="WW8Num3z1"/>
    <w:next w:val="697"/>
    <w:link w:val="678"/>
    <w:rPr>
      <w:rFonts w:ascii="Courier New" w:hAnsi="Courier New"/>
    </w:rPr>
  </w:style>
  <w:style w:type="character" w:styleId="698">
    <w:name w:val="WW8Num3z2"/>
    <w:next w:val="698"/>
    <w:link w:val="678"/>
    <w:rPr>
      <w:rFonts w:ascii="Wingdings" w:hAnsi="Wingdings"/>
    </w:rPr>
  </w:style>
  <w:style w:type="character" w:styleId="699">
    <w:name w:val="WW8Num3z3"/>
    <w:next w:val="699"/>
    <w:link w:val="678"/>
    <w:rPr>
      <w:rFonts w:ascii="Symbol" w:hAnsi="Symbol"/>
    </w:rPr>
  </w:style>
  <w:style w:type="character" w:styleId="700">
    <w:name w:val="Основной шрифт абзаца1"/>
    <w:next w:val="700"/>
    <w:link w:val="678"/>
  </w:style>
  <w:style w:type="paragraph" w:styleId="701">
    <w:name w:val="Заголовок"/>
    <w:basedOn w:val="678"/>
    <w:next w:val="702"/>
    <w:link w:val="678"/>
    <w:rPr>
      <w:rFonts w:ascii="Arial" w:hAnsi="Arial" w:eastAsia="Arial Unicode MS"/>
      <w:sz w:val="28"/>
      <w:szCs w:val="28"/>
    </w:rPr>
    <w:pPr>
      <w:keepNext/>
      <w:spacing w:after="120" w:before="240"/>
    </w:pPr>
  </w:style>
  <w:style w:type="paragraph" w:styleId="702">
    <w:name w:val="Основной текст"/>
    <w:basedOn w:val="678"/>
    <w:next w:val="702"/>
    <w:link w:val="678"/>
    <w:pPr>
      <w:spacing w:after="120" w:before="0"/>
    </w:pPr>
  </w:style>
  <w:style w:type="paragraph" w:styleId="703">
    <w:name w:val="Список"/>
    <w:basedOn w:val="702"/>
    <w:next w:val="703"/>
    <w:link w:val="678"/>
  </w:style>
  <w:style w:type="paragraph" w:styleId="704">
    <w:name w:val="Название1"/>
    <w:basedOn w:val="678"/>
    <w:next w:val="704"/>
    <w:link w:val="678"/>
    <w:rPr>
      <w:i/>
      <w:iCs/>
      <w:sz w:val="24"/>
      <w:szCs w:val="24"/>
    </w:rPr>
    <w:pPr>
      <w:spacing w:after="120" w:before="120"/>
    </w:pPr>
  </w:style>
  <w:style w:type="paragraph" w:styleId="705">
    <w:name w:val="Указатель1"/>
    <w:basedOn w:val="678"/>
    <w:next w:val="705"/>
    <w:link w:val="678"/>
  </w:style>
  <w:style w:type="paragraph" w:styleId="706">
    <w:name w:val="Абзац списка"/>
    <w:basedOn w:val="678"/>
    <w:next w:val="706"/>
    <w:link w:val="678"/>
    <w:pPr>
      <w:ind w:left="720" w:right="0" w:firstLine="0"/>
    </w:pPr>
  </w:style>
  <w:style w:type="paragraph" w:styleId="707">
    <w:name w:val="ConsPlusTitle"/>
    <w:next w:val="707"/>
    <w:link w:val="678"/>
    <w:rPr>
      <w:b/>
      <w:bCs/>
      <w:sz w:val="24"/>
      <w:szCs w:val="24"/>
      <w:lang w:val="ru-RU" w:bidi="ar-SA" w:eastAsia="ar-SA"/>
    </w:rPr>
    <w:pPr>
      <w:widowControl w:val="off"/>
    </w:pPr>
  </w:style>
  <w:style w:type="paragraph" w:styleId="708">
    <w:name w:val="Содержимое таблицы"/>
    <w:basedOn w:val="678"/>
    <w:next w:val="708"/>
    <w:link w:val="678"/>
  </w:style>
  <w:style w:type="paragraph" w:styleId="709">
    <w:name w:val="Заголовок таблицы"/>
    <w:basedOn w:val="708"/>
    <w:next w:val="709"/>
    <w:link w:val="678"/>
    <w:rPr>
      <w:b/>
      <w:bCs/>
    </w:rPr>
    <w:pPr>
      <w:jc w:val="center"/>
    </w:pPr>
  </w:style>
  <w:style w:type="character" w:styleId="710">
    <w:name w:val="Гиперссылка"/>
    <w:basedOn w:val="680"/>
    <w:next w:val="710"/>
    <w:link w:val="678"/>
    <w:semiHidden/>
    <w:rPr>
      <w:color w:val="0000FF"/>
      <w:u w:val="single"/>
    </w:rPr>
  </w:style>
  <w:style w:type="character" w:styleId="711">
    <w:name w:val="Заголовок 1 Знак"/>
    <w:basedOn w:val="680"/>
    <w:next w:val="711"/>
    <w:link w:val="679"/>
    <w:rPr>
      <w:b/>
      <w:bCs/>
      <w:sz w:val="48"/>
      <w:szCs w:val="48"/>
    </w:rPr>
  </w:style>
  <w:style w:type="character" w:styleId="712" w:default="1">
    <w:name w:val="Default Paragraph Font"/>
    <w:uiPriority w:val="1"/>
    <w:semiHidden/>
    <w:unhideWhenUsed/>
  </w:style>
  <w:style w:type="numbering" w:styleId="713" w:default="1">
    <w:name w:val="No List"/>
    <w:uiPriority w:val="99"/>
    <w:semiHidden/>
    <w:unhideWhenUsed/>
  </w:style>
  <w:style w:type="paragraph" w:styleId="714" w:default="1">
    <w:name w:val="Normal"/>
    <w:qFormat/>
  </w:style>
  <w:style w:type="table" w:styleId="71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://tektarif.ru/news/251c6bd7-f752-4108-bf16-ae97187ea706.aspx" TargetMode="External"/><Relationship Id="rId10" Type="http://schemas.openxmlformats.org/officeDocument/2006/relationships/hyperlink" Target="http://tektarif.ru/news/34d2f598-9aa7-40ef-a697-5575fd25de6f.aspx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Р7-Офис/6.0.1.37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15</cp:revision>
  <dcterms:modified xsi:type="dcterms:W3CDTF">2022-02-14T14:30:26Z</dcterms:modified>
</cp:coreProperties>
</file>