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/>
    </w:p>
    <w:p>
      <w:pPr>
        <w:ind w:left="-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антимонопольном комплаенсе</w:t>
      </w:r>
      <w:r/>
    </w:p>
    <w:p>
      <w:pPr>
        <w:ind w:left="-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государственного регулирования цен и тарифов Костромской области</w:t>
      </w:r>
      <w:r/>
    </w:p>
    <w:p>
      <w:pPr>
        <w:ind w:left="-567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569"/>
        <w:numPr>
          <w:ilvl w:val="0"/>
          <w:numId w:val="1"/>
        </w:numPr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положения.</w:t>
      </w:r>
      <w:r/>
    </w:p>
    <w:p>
      <w:pPr>
        <w:ind w:left="-567" w:firstLine="709"/>
        <w:jc w:val="both"/>
        <w:spacing w:lineRule="auto" w:line="264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Указа президента РФ от 21.12.2017 № 618 «Об основных направлениях государственной политики по развитию конкуренции»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губернатора Костромской области от 21.02.2019 № 106-р </w:t>
      </w:r>
      <w:r>
        <w:rPr>
          <w:rFonts w:ascii="Times New Roman" w:hAnsi="Times New Roman" w:cs="Times New Roman"/>
          <w:sz w:val="24"/>
          <w:szCs w:val="24"/>
        </w:rPr>
        <w:t xml:space="preserve">«О</w:t>
      </w:r>
      <w:r>
        <w:rPr>
          <w:rFonts w:ascii="Times New Roman" w:hAnsi="Times New Roman" w:cs="Times New Roman"/>
          <w:sz w:val="24"/>
          <w:szCs w:val="24"/>
        </w:rPr>
        <w:t xml:space="preserve">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области» (далее - Распоряжение </w:t>
        <w:br/>
        <w:t xml:space="preserve">№ 106-р) </w:t>
      </w:r>
      <w:r>
        <w:rPr>
          <w:rFonts w:ascii="Times New Roman" w:hAnsi="Times New Roman" w:cs="Times New Roman"/>
          <w:sz w:val="24"/>
          <w:szCs w:val="24"/>
        </w:rPr>
        <w:t xml:space="preserve">приказом департа</w:t>
      </w:r>
      <w:r>
        <w:rPr>
          <w:rFonts w:ascii="Times New Roman" w:hAnsi="Times New Roman" w:cs="Times New Roman"/>
          <w:sz w:val="24"/>
          <w:szCs w:val="24"/>
        </w:rPr>
        <w:t xml:space="preserve">мента государственного регулирования цен и тарифов Костромской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26.02.2019 № 5 «</w:t>
      </w:r>
      <w:r>
        <w:rPr>
          <w:rStyle w:val="570"/>
        </w:rPr>
        <w:t xml:space="preserve">Об организации системы внутреннего обеспечения соответствия требованиям антимонопольного законодательства в департаменте государственного регулирования цен и тарифов Костромской области</w:t>
      </w:r>
      <w:r>
        <w:rPr>
          <w:rStyle w:val="570"/>
        </w:rPr>
        <w:t xml:space="preserve">»</w:t>
      </w:r>
      <w:r>
        <w:rPr>
          <w:rStyle w:val="570"/>
        </w:rPr>
        <w:t xml:space="preserve"> в департаменте утверждено положение </w:t>
      </w:r>
      <w:r>
        <w:rPr>
          <w:rStyle w:val="570"/>
        </w:rPr>
        <w:t xml:space="preserve">организации системы внутреннего обеспечения соответствия требованиям антимонопольного законодательства</w:t>
      </w:r>
      <w:r>
        <w:rPr>
          <w:rStyle w:val="570"/>
        </w:rPr>
        <w:t xml:space="preserve"> (далее – Положение)</w:t>
      </w:r>
      <w:r>
        <w:rPr>
          <w:rStyle w:val="570"/>
        </w:rPr>
        <w:t xml:space="preserve">.</w:t>
      </w:r>
      <w:r>
        <w:rPr>
          <w:rStyle w:val="570"/>
        </w:rPr>
      </w:r>
      <w:r/>
    </w:p>
    <w:p>
      <w:pPr>
        <w:ind w:left="-567" w:firstLine="709"/>
        <w:jc w:val="both"/>
        <w:spacing w:lineRule="auto" w:line="264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пп 2 п.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№ 106-р е</w:t>
      </w:r>
      <w:r>
        <w:rPr>
          <w:rFonts w:ascii="Times New Roman" w:hAnsi="Times New Roman" w:cs="Times New Roman"/>
          <w:sz w:val="24"/>
          <w:szCs w:val="24"/>
        </w:rPr>
        <w:t xml:space="preserve">жегодно в срок до 1 марта </w:t>
      </w:r>
      <w:r>
        <w:rPr>
          <w:rFonts w:ascii="Times New Roman" w:hAnsi="Times New Roman" w:cs="Times New Roman"/>
          <w:sz w:val="24"/>
          <w:szCs w:val="24"/>
        </w:rPr>
        <w:t xml:space="preserve">года, следующего за отчетным годом (начиная с 2020 года) департамент государственного регулирования цен и тарифов Костромской области должен размещать доклады об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антимонопольном</w:t>
      </w:r>
      <w:r>
        <w:rPr>
          <w:rFonts w:ascii="Times New Roman" w:hAnsi="Times New Roman" w:cs="Times New Roman"/>
          <w:sz w:val="24"/>
          <w:szCs w:val="24"/>
        </w:rPr>
        <w:t xml:space="preserve"> комплаенсе, утвержденные коллегиальными органами, на официальных сайтах исполнительных органов государственной власти Костромской области в информационно-телекоммуникационной сети Интернет.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567" w:firstLine="709"/>
        <w:jc w:val="both"/>
        <w:spacing w:lineRule="auto" w:line="264" w:after="0"/>
        <w:rPr>
          <w:rStyle w:val="570"/>
        </w:rPr>
      </w:pPr>
      <w:r>
        <w:rPr>
          <w:rStyle w:val="570"/>
        </w:rPr>
        <w:t xml:space="preserve">Коллегиальным органом, осуществляющим оценку эффективности антимонопольного комплаенса, определен Общественный совет при департаменте </w:t>
      </w:r>
      <w:r>
        <w:rPr>
          <w:rStyle w:val="570"/>
        </w:rPr>
        <w:t xml:space="preserve">государственного регулирования цен и тарифов Костромской области</w:t>
      </w:r>
      <w:r>
        <w:rPr>
          <w:rStyle w:val="570"/>
        </w:rPr>
        <w:t xml:space="preserve">.</w:t>
      </w:r>
      <w:r>
        <w:rPr>
          <w:rStyle w:val="570"/>
        </w:rPr>
      </w:r>
      <w:r/>
    </w:p>
    <w:p>
      <w:pPr>
        <w:ind w:left="-567" w:firstLine="709"/>
        <w:jc w:val="both"/>
        <w:spacing w:lineRule="auto" w:line="264" w:after="0"/>
        <w:rPr>
          <w:rStyle w:val="570"/>
        </w:rPr>
      </w:pPr>
      <w:r>
        <w:rPr>
          <w:rStyle w:val="570"/>
        </w:rPr>
        <w:t xml:space="preserve">Функции уполномоченного подразделения, </w:t>
      </w:r>
      <w:r>
        <w:rPr>
          <w:rStyle w:val="570"/>
        </w:rPr>
        <w:t xml:space="preserve">связанные с организацией и функционированием антимонопольного комплаенса, возл</w:t>
      </w:r>
      <w:r>
        <w:rPr>
          <w:rStyle w:val="570"/>
        </w:rPr>
        <w:t xml:space="preserve">ожены</w:t>
      </w:r>
      <w:r>
        <w:rPr>
          <w:rStyle w:val="570"/>
        </w:rPr>
        <w:t xml:space="preserve"> на юридический отдел департамента</w:t>
      </w:r>
      <w:r>
        <w:rPr>
          <w:rStyle w:val="570"/>
        </w:rPr>
        <w:t xml:space="preserve">.</w:t>
      </w:r>
      <w:r>
        <w:rPr>
          <w:rStyle w:val="570"/>
        </w:rPr>
      </w:r>
      <w:r/>
    </w:p>
    <w:p>
      <w:pPr>
        <w:ind w:left="-567" w:firstLine="709"/>
        <w:jc w:val="both"/>
        <w:spacing w:lineRule="auto" w:line="264" w:after="0"/>
        <w:rPr>
          <w:rStyle w:val="570"/>
        </w:rPr>
      </w:pPr>
      <w:r>
        <w:rPr>
          <w:rStyle w:val="570"/>
        </w:rPr>
        <w:t xml:space="preserve">Уполномоченным подразделением департамента проанализированы </w:t>
      </w:r>
      <w:r>
        <w:rPr>
          <w:rStyle w:val="570"/>
        </w:rPr>
        <w:t xml:space="preserve">положения о структурных подразделениях департамента, их функции и обязанности в целях выявления комплаенс-рисков. </w:t>
      </w:r>
      <w:r>
        <w:rPr>
          <w:rStyle w:val="570"/>
        </w:rPr>
      </w:r>
      <w:r/>
    </w:p>
    <w:p>
      <w:pPr>
        <w:ind w:left="-567" w:firstLine="709"/>
        <w:jc w:val="both"/>
        <w:spacing w:lineRule="auto" w:line="264" w:after="0"/>
        <w:rPr>
          <w:rStyle w:val="570"/>
        </w:rPr>
      </w:pPr>
      <w:r>
        <w:rPr>
          <w:rStyle w:val="570"/>
        </w:rPr>
        <w:t xml:space="preserve">В соответствии с пун</w:t>
      </w:r>
      <w:r>
        <w:rPr>
          <w:rStyle w:val="570"/>
        </w:rPr>
        <w:t xml:space="preserve">ктом 28 Положения</w:t>
      </w:r>
      <w:r>
        <w:rPr>
          <w:rStyle w:val="570"/>
        </w:rPr>
        <w:t xml:space="preserve"> до</w:t>
      </w:r>
      <w:r>
        <w:rPr>
          <w:rStyle w:val="570"/>
        </w:rPr>
        <w:t xml:space="preserve">кл</w:t>
      </w:r>
      <w:r>
        <w:rPr>
          <w:rStyle w:val="570"/>
        </w:rPr>
        <w:t xml:space="preserve">ад об антимонопольном комплаенсе должен представляться в Общественный совет при департаменте на утверждение (не реже одного раза в год) юридическим отделом совместно со структурными подразделениями в срок не позднее 1 марта года, следующего за отчетным.</w:t>
      </w:r>
      <w:r/>
    </w:p>
    <w:p>
      <w:pPr>
        <w:pStyle w:val="571"/>
        <w:ind w:left="-567" w:firstLine="709"/>
        <w:spacing w:lineRule="auto" w:line="240"/>
        <w:widowControl/>
        <w:tabs>
          <w:tab w:val="left" w:pos="1176" w:leader="none"/>
        </w:tabs>
        <w:rPr>
          <w:rStyle w:val="570"/>
        </w:rPr>
      </w:pPr>
      <w:r>
        <w:rPr>
          <w:rStyle w:val="570"/>
        </w:rPr>
        <w:t xml:space="preserve">В соответствии с пунктом 27 Положения доклад об антимонопольном комплаенсе должен содержать информацию:</w:t>
      </w:r>
      <w:r/>
    </w:p>
    <w:p>
      <w:pPr>
        <w:pStyle w:val="571"/>
        <w:ind w:left="-567" w:firstLine="709"/>
        <w:spacing w:lineRule="auto" w:line="240"/>
        <w:widowControl/>
        <w:tabs>
          <w:tab w:val="left" w:pos="864" w:leader="none"/>
        </w:tabs>
        <w:rPr>
          <w:rStyle w:val="570"/>
        </w:rPr>
      </w:pPr>
      <w:r>
        <w:rPr>
          <w:rStyle w:val="570"/>
        </w:rPr>
        <w:t xml:space="preserve">а)</w:t>
      </w:r>
      <w:r>
        <w:rPr>
          <w:rStyle w:val="570"/>
        </w:rPr>
        <w:tab/>
        <w:t xml:space="preserve">о результатах проведенной оценки рисков нарушения департаментом антимонопольного законодательства;</w:t>
      </w:r>
      <w:r/>
    </w:p>
    <w:p>
      <w:pPr>
        <w:pStyle w:val="571"/>
        <w:ind w:left="-567" w:right="10" w:firstLine="709"/>
        <w:spacing w:lineRule="auto" w:line="240"/>
        <w:widowControl/>
        <w:tabs>
          <w:tab w:val="left" w:pos="1027" w:leader="none"/>
        </w:tabs>
        <w:rPr>
          <w:rStyle w:val="570"/>
        </w:rPr>
      </w:pPr>
      <w:r>
        <w:rPr>
          <w:rStyle w:val="570"/>
        </w:rPr>
        <w:t xml:space="preserve">б)</w:t>
      </w:r>
      <w:r>
        <w:rPr>
          <w:rStyle w:val="570"/>
        </w:rPr>
        <w:tab/>
        <w:t xml:space="preserve">об исполнении мероприятий по снижению рисков нарушения</w:t>
      </w:r>
      <w:r>
        <w:rPr>
          <w:rStyle w:val="570"/>
        </w:rPr>
        <w:br/>
        <w:t xml:space="preserve">департаментом антимонопольного законодательства;</w:t>
      </w:r>
      <w:r/>
    </w:p>
    <w:p>
      <w:pPr>
        <w:pStyle w:val="571"/>
        <w:ind w:left="-567" w:firstLine="709"/>
        <w:spacing w:lineRule="auto" w:line="240"/>
        <w:widowControl/>
        <w:tabs>
          <w:tab w:val="left" w:pos="1291" w:leader="none"/>
        </w:tabs>
        <w:rPr>
          <w:rStyle w:val="570"/>
        </w:rPr>
      </w:pPr>
      <w:r>
        <w:rPr>
          <w:rStyle w:val="570"/>
        </w:rPr>
        <w:t xml:space="preserve">в)</w:t>
      </w:r>
      <w:r>
        <w:rPr>
          <w:rStyle w:val="570"/>
        </w:rPr>
        <w:tab/>
        <w:t xml:space="preserve">о достижении ключевых показателей эффективности</w:t>
      </w:r>
      <w:r>
        <w:rPr>
          <w:rStyle w:val="570"/>
        </w:rPr>
        <w:br/>
      </w:r>
      <w:r>
        <w:rPr>
          <w:rStyle w:val="570"/>
        </w:rPr>
        <w:t xml:space="preserve">антимонопольного</w:t>
      </w:r>
      <w:r>
        <w:rPr>
          <w:rStyle w:val="570"/>
        </w:rPr>
        <w:t xml:space="preserve"> комплаенса.</w:t>
      </w:r>
      <w:r/>
    </w:p>
    <w:p>
      <w:pPr>
        <w:ind w:left="-567" w:firstLine="709"/>
        <w:jc w:val="both"/>
        <w:spacing w:lineRule="auto" w:line="264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Информация о результатах проведенной оценки комплаенс-рисков представлена в разделе </w:t>
      </w:r>
      <w:r>
        <w:rPr>
          <w:rFonts w:ascii="Times New Roman" w:hAnsi="Times New Roman" w:cs="Times New Roman" w:eastAsia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Доклада в виде аналитической справки.</w:t>
      </w:r>
      <w:r/>
    </w:p>
    <w:p>
      <w:pPr>
        <w:pStyle w:val="569"/>
        <w:numPr>
          <w:ilvl w:val="0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проведенной оценки комплаенс-рисков (аналитическая справка).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рисков нарушения департаментом антимонопольного законодательства (далее – комплаенс-рисков)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ным подразделением департамента, определенным в лице юридического отдела, был проведен анализ факторов, событий и обстоятельств, которые влияют на совершение таких нарушений.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анализа и оценки рисков уполномоченным подразделением применялись понятия, методы и принципы, установленные в национальных и международных стандартах: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 ИСО/</w:t>
      </w:r>
      <w:r>
        <w:rPr>
          <w:rFonts w:ascii="Times New Roman" w:hAnsi="Times New Roman" w:cs="Times New Roman"/>
          <w:sz w:val="24"/>
          <w:szCs w:val="24"/>
        </w:rPr>
        <w:t xml:space="preserve">МЭК</w:t>
      </w:r>
      <w:r>
        <w:rPr>
          <w:rFonts w:ascii="Times New Roman" w:hAnsi="Times New Roman" w:cs="Times New Roman"/>
          <w:sz w:val="24"/>
          <w:szCs w:val="24"/>
        </w:rPr>
        <w:t xml:space="preserve"> 3101 – 2011 Методы оценки риска;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 51901.23 – 2012 Реестр риска. Руководство по оценке опасных событий для включения в реестр риска;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Международный стандарт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ISO</w:t>
      </w:r>
      <w:r>
        <w:rPr>
          <w:rFonts w:ascii="Times New Roman" w:hAnsi="Times New Roman" w:cs="Times New Roman"/>
          <w:sz w:val="24"/>
          <w:szCs w:val="24"/>
        </w:rPr>
        <w:t xml:space="preserve"> 31000 </w:t>
      </w:r>
      <w:r>
        <w:rPr>
          <w:rFonts w:ascii="Times New Roman" w:hAnsi="Times New Roman" w:cs="Times New Roman"/>
          <w:sz w:val="24"/>
          <w:szCs w:val="24"/>
        </w:rPr>
        <w:t xml:space="preserve">Риск менеджмент – Принципы и руководства;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 ИСО 9000-2015 Системы менеджмента качества. Основные положения и словарь.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комплаенс-рисками понимались те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 возможные</w:t>
      </w:r>
      <w:r>
        <w:rPr>
          <w:rFonts w:ascii="Times New Roman" w:hAnsi="Times New Roman" w:cs="Times New Roman"/>
          <w:sz w:val="24"/>
          <w:szCs w:val="24"/>
        </w:rPr>
        <w:t xml:space="preserve"> события, обстоятельства и факторы, поддающиеся определению и оценке, которые влияют на наступление такого неблагоприятного события как нарушение департаментом антимонопольного законодательства.</w:t>
      </w:r>
      <w:r/>
    </w:p>
    <w:p>
      <w:pPr>
        <w:pStyle w:val="569"/>
        <w:numPr>
          <w:ilvl w:val="1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выявленных рисков нарушений антимонопольного законодательства в деятельности департамента.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анализа выявленных рисков нарушений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департамента юридическим отделом </w:t>
      </w:r>
      <w:r>
        <w:rPr>
          <w:rFonts w:ascii="Times New Roman" w:hAnsi="Times New Roman" w:cs="Times New Roman"/>
          <w:sz w:val="24"/>
          <w:szCs w:val="24"/>
        </w:rPr>
        <w:t xml:space="preserve">осуществлены следующие мероприятия: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проанализированы данные о выявлении в нормативных правовых актах департамента положений, нарушающих антимонопольное законодательство;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проанализирована практика рассмотрения обращений граждан и организаций;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 анализ </w:t>
      </w:r>
      <w:r>
        <w:rPr>
          <w:rFonts w:ascii="Times New Roman" w:hAnsi="Times New Roman" w:cs="Times New Roman"/>
          <w:sz w:val="24"/>
          <w:szCs w:val="24"/>
        </w:rPr>
        <w:t xml:space="preserve">процедур</w:t>
      </w:r>
      <w:r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 xml:space="preserve">ок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 и услуг для обеспечения нужд департамента;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проанализированы сведения об оказании государственных услуг департаментом.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выявленных комплаенс-рисков был составлен план мероприятий («дорожная карта») по их снижению, </w:t>
      </w:r>
      <w:r>
        <w:rPr>
          <w:rFonts w:ascii="Times New Roman" w:hAnsi="Times New Roman" w:cs="Times New Roman"/>
          <w:sz w:val="24"/>
          <w:szCs w:val="24"/>
        </w:rPr>
        <w:t xml:space="preserve"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которого указаны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доклада.</w:t>
      </w:r>
      <w:r/>
    </w:p>
    <w:p>
      <w:pPr>
        <w:pStyle w:val="569"/>
        <w:numPr>
          <w:ilvl w:val="0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исполнении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снижению комплаенс-рисков.</w:t>
      </w:r>
      <w:r/>
    </w:p>
    <w:p>
      <w:pPr>
        <w:pStyle w:val="569"/>
        <w:numPr>
          <w:ilvl w:val="1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2020 год в отношении </w:t>
      </w:r>
      <w:r>
        <w:rPr>
          <w:rFonts w:ascii="Times New Roman" w:hAnsi="Times New Roman" w:cs="Times New Roman"/>
          <w:sz w:val="24"/>
          <w:szCs w:val="24"/>
        </w:rPr>
        <w:t xml:space="preserve">357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</w:t>
      </w:r>
      <w:r>
        <w:rPr>
          <w:rFonts w:ascii="Times New Roman" w:hAnsi="Times New Roman" w:cs="Times New Roman"/>
          <w:sz w:val="24"/>
          <w:szCs w:val="24"/>
        </w:rPr>
        <w:t xml:space="preserve">равовых актов департамента была проведена правовая, антикоррупционная экспертиза, а также независимая оценка влияния проекта НПА на конкуренцию. По результатам проведенных мероприятий коррупциогенные факторы, а также влияние НПА на конкуренцию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Заключений, представлений Минюста, прокуратуры на НПА департамента не выдавалось.</w:t>
      </w:r>
      <w:r/>
    </w:p>
    <w:p>
      <w:pPr>
        <w:pStyle w:val="569"/>
        <w:numPr>
          <w:ilvl w:val="1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sz w:val="24"/>
          <w:szCs w:val="24"/>
        </w:rPr>
        <w:t xml:space="preserve">2020 год в департамент поступило </w:t>
      </w:r>
      <w:r>
        <w:rPr>
          <w:rFonts w:ascii="Times New Roman" w:hAnsi="Times New Roman" w:cs="Times New Roman"/>
          <w:sz w:val="24"/>
          <w:szCs w:val="24"/>
        </w:rPr>
        <w:t xml:space="preserve">102</w:t>
      </w:r>
      <w:r>
        <w:rPr>
          <w:rFonts w:ascii="Times New Roman" w:hAnsi="Times New Roman" w:cs="Times New Roman"/>
          <w:sz w:val="24"/>
          <w:szCs w:val="24"/>
        </w:rPr>
        <w:t xml:space="preserve"> обращения граждан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были даны ответы в порядке Федерального закона от 02.05.06 № 59-ФЗ «О порядке рассмотрения обращений граждан РФ». </w:t>
      </w:r>
      <w:r>
        <w:rPr>
          <w:rFonts w:ascii="Times New Roman" w:hAnsi="Times New Roman" w:cs="Times New Roman"/>
          <w:sz w:val="24"/>
          <w:szCs w:val="24"/>
        </w:rPr>
        <w:t xml:space="preserve">В течение отчетного периода сотрудниками департамента фактов предоставления заявителю доступа к информации в приоритетном порядке, принятия решений, влекущих нарушение антимонопольного законодательства, допущено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было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работе с обращением граждан и организаций утверждена приказом департамента от </w:t>
      </w:r>
      <w:r>
        <w:rPr>
          <w:rFonts w:ascii="Times New Roman" w:hAnsi="Times New Roman" w:cs="Times New Roman"/>
          <w:sz w:val="24"/>
          <w:szCs w:val="24"/>
        </w:rPr>
        <w:t xml:space="preserve">28.06.2018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. 100% государственных гражданских служащих департамента, в том числе вновь </w:t>
      </w:r>
      <w:r>
        <w:rPr>
          <w:rFonts w:ascii="Times New Roman" w:hAnsi="Times New Roman" w:cs="Times New Roman"/>
          <w:sz w:val="24"/>
          <w:szCs w:val="24"/>
        </w:rPr>
        <w:t xml:space="preserve">прибывшие</w:t>
      </w:r>
      <w:r>
        <w:rPr>
          <w:rFonts w:ascii="Times New Roman" w:hAnsi="Times New Roman" w:cs="Times New Roman"/>
          <w:sz w:val="24"/>
          <w:szCs w:val="24"/>
        </w:rPr>
        <w:t xml:space="preserve"> в отчетный период, ознакомлены с указанной инструкцией. </w:t>
      </w:r>
      <w:r>
        <w:rPr>
          <w:highlight w:val="yellow"/>
        </w:rPr>
      </w:r>
      <w:r/>
    </w:p>
    <w:p>
      <w:pPr>
        <w:pStyle w:val="569"/>
        <w:numPr>
          <w:ilvl w:val="1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не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закупок с использованием конкурентных способов определения поставщика. Всего был заключен 31 контракт путем закупки у единственного поставщ</w:t>
      </w:r>
      <w:r>
        <w:rPr>
          <w:rFonts w:ascii="Times New Roman" w:hAnsi="Times New Roman" w:cs="Times New Roman"/>
          <w:sz w:val="24"/>
          <w:szCs w:val="24"/>
        </w:rPr>
        <w:t xml:space="preserve">ика, из них 30 контрактов по</w:t>
      </w:r>
      <w:r>
        <w:rPr>
          <w:rFonts w:ascii="Times New Roman" w:hAnsi="Times New Roman" w:cs="Times New Roman"/>
          <w:sz w:val="24"/>
          <w:szCs w:val="24"/>
        </w:rPr>
        <w:t xml:space="preserve"> п. 4 ч. 1 ст. 93</w:t>
      </w:r>
      <w:r>
        <w:rPr>
          <w:rFonts w:ascii="Times New Roman" w:hAnsi="Times New Roman" w:cs="Times New Roman"/>
          <w:sz w:val="24"/>
          <w:szCs w:val="24"/>
        </w:rPr>
        <w:t xml:space="preserve">  и 1 контракт по п.6 ч.1 ст. 93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закупочной деятельности департамента не было подано ни одной жалобы,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допущено не было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повышения квалификации лиц,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функции по закупкам товаров (работ, услуг) для нужд департамента в отчетном периоде было </w:t>
      </w:r>
      <w:r>
        <w:rPr>
          <w:rFonts w:ascii="Times New Roman" w:hAnsi="Times New Roman" w:cs="Times New Roman"/>
          <w:sz w:val="24"/>
          <w:szCs w:val="24"/>
        </w:rPr>
        <w:t xml:space="preserve">принято участие 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обучающих семинарах (вебинарах) по практике применения № 44-ФЗ.</w:t>
      </w:r>
      <w:r/>
    </w:p>
    <w:p>
      <w:pPr>
        <w:pStyle w:val="569"/>
        <w:numPr>
          <w:ilvl w:val="1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н</w:t>
      </w:r>
      <w:r>
        <w:rPr>
          <w:rFonts w:ascii="Times New Roman" w:hAnsi="Times New Roman" w:cs="Times New Roman"/>
          <w:sz w:val="24"/>
          <w:szCs w:val="24"/>
        </w:rPr>
        <w:t xml:space="preserve">арушения прав хозяйствующих субъектов вследствие несоблюдения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услуг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, необоснованного отказа в предоставлении услуги, урегулирования спора с нарушением норм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допущено не было.</w:t>
      </w:r>
      <w:r>
        <w:rPr>
          <w:rFonts w:ascii="Times New Roman" w:hAnsi="Times New Roman" w:cs="Times New Roman"/>
          <w:sz w:val="24"/>
          <w:szCs w:val="24"/>
        </w:rPr>
        <w:t xml:space="preserve"> Заявлений о предоставлении государственной услуги в департамент не поступало.</w:t>
      </w:r>
      <w:r/>
    </w:p>
    <w:p>
      <w:pPr>
        <w:pStyle w:val="569"/>
        <w:numPr>
          <w:ilvl w:val="0"/>
          <w:numId w:val="1"/>
        </w:numPr>
        <w:ind w:left="-567"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ключевых показателей эффективности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антимонопольного комплаенса в департаменте.</w:t>
      </w:r>
      <w:r/>
    </w:p>
    <w:p>
      <w:pPr>
        <w:pStyle w:val="569"/>
        <w:ind w:left="-567" w:firstLine="709"/>
        <w:jc w:val="both"/>
        <w:spacing w:after="0"/>
        <w:rPr>
          <w:rStyle w:val="570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антимонопольного комплаенса в департаменте проведена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Методик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расчета </w:t>
      </w:r>
      <w:r>
        <w:rPr>
          <w:rStyle w:val="570"/>
        </w:rPr>
        <w:t xml:space="preserve">ключевых показателей эффективности функционирования в департаменте государственного регулирования цен и тарифов Костромской области антимонопольного комплаенса</w:t>
      </w:r>
      <w:r>
        <w:rPr>
          <w:rStyle w:val="570"/>
        </w:rPr>
        <w:t xml:space="preserve">, </w:t>
      </w:r>
      <w:r>
        <w:rPr>
          <w:rStyle w:val="570"/>
        </w:rPr>
        <w:t xml:space="preserve">утвержденной приказом департамента от 24.07.2019 № 15.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570"/>
        </w:rPr>
        <w:t xml:space="preserve">В целях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в департаменте антимонопольного комплаенса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Методикой рассчитываются ключевые показатели эффективности антимонопольного комплаенса (далее - </w:t>
      </w:r>
      <w:r>
        <w:rPr>
          <w:rFonts w:ascii="Times New Roman" w:hAnsi="Times New Roman" w:cs="Times New Roman"/>
          <w:sz w:val="24"/>
          <w:szCs w:val="24"/>
        </w:rPr>
        <w:t xml:space="preserve">КПЭ</w:t>
      </w:r>
      <w:r>
        <w:rPr>
          <w:rFonts w:ascii="Times New Roman" w:hAnsi="Times New Roman" w:cs="Times New Roman"/>
          <w:sz w:val="24"/>
          <w:szCs w:val="24"/>
        </w:rPr>
        <w:t xml:space="preserve">) как для юридического отдела, так и для департамента в целом.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антимонопольного комплаенса для департамента в целом являются: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коэффициент </w:t>
      </w:r>
      <w:r>
        <w:rPr>
          <w:rFonts w:ascii="Times New Roman" w:hAnsi="Times New Roman" w:cs="Times New Roman"/>
          <w:sz w:val="24"/>
          <w:szCs w:val="24"/>
        </w:rPr>
        <w:t xml:space="preserve">снижения количества нарушений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департамента (по сравнению с 2017 годом);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проектов нормативных правовых актов департамента, в которых выявлены риски нарушения антимонопольного законодательства;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доля нормативных правовых актов департамента, в которых выявлены риски нарушения антимонопольного законодательства.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 xml:space="preserve">снижения количества нарушений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департамента (по сравнению с 2017 годом) рассчитывается по формуле: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КСН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2017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</w:t>
      </w:r>
      <w:r>
        <w:rPr>
          <w:rFonts w:ascii="Times New Roman" w:hAnsi="Times New Roman" w:cs="Times New Roman"/>
          <w:sz w:val="24"/>
          <w:szCs w:val="24"/>
        </w:rPr>
        <w:t xml:space="preserve">, где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КСН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 </w:t>
      </w:r>
      <w:r>
        <w:rPr>
          <w:rFonts w:ascii="Times New Roman" w:hAnsi="Times New Roman" w:cs="Times New Roman"/>
          <w:sz w:val="24"/>
          <w:szCs w:val="24"/>
        </w:rPr>
        <w:t xml:space="preserve">снижения количества нарушений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департамента по сравнению с 2017 годом;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2017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департамента в 2017 году;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департамента в отчетном периоде.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нарушений антимонопольного законодательства со стороны департамента в отчетном периоде допущено не было, расчет по указанной формуле не производится. Показателю присваивается максимальный коэффициент.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департамента, в которых выявлены риски нарушения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пнпа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пнпа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</w:t>
      </w:r>
      <w:r>
        <w:rPr>
          <w:rFonts w:ascii="Times New Roman" w:hAnsi="Times New Roman" w:cs="Times New Roman"/>
          <w:sz w:val="24"/>
          <w:szCs w:val="24"/>
        </w:rPr>
        <w:t xml:space="preserve">, где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пнпа</w:t>
      </w:r>
      <w:r>
        <w:rPr>
          <w:rFonts w:ascii="Times New Roman" w:hAnsi="Times New Roman" w:cs="Times New Roman"/>
          <w:sz w:val="24"/>
          <w:szCs w:val="24"/>
        </w:rPr>
        <w:t xml:space="preserve"> - доля проектов нормативных правовых актов департамента, в которых выявлены риски нарушения антимонопольного законодательства;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пнпа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проектов нормативных правовых актов департамента, в которых данным органом выявлены риски нарушения антимонопольного законодательства (в отчетном периоде);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департамента, в которых антимонопольным органом выявлены нарушения антимонопольного законодательства (в отчетном периоде).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проектах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актах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были выявлены нарушения антимонопольного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расчет по указанной формуле не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Показателю присваивается максимальный коэффициент.</w:t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департамента, в которых выявлены риски нарушения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нпа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нпа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</w:t>
      </w:r>
      <w:r>
        <w:rPr>
          <w:rFonts w:ascii="Times New Roman" w:hAnsi="Times New Roman" w:cs="Times New Roman"/>
          <w:sz w:val="24"/>
          <w:szCs w:val="24"/>
        </w:rPr>
        <w:t xml:space="preserve">, где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нпа</w:t>
      </w:r>
      <w:r>
        <w:rPr>
          <w:rFonts w:ascii="Times New Roman" w:hAnsi="Times New Roman" w:cs="Times New Roman"/>
          <w:sz w:val="24"/>
          <w:szCs w:val="24"/>
        </w:rPr>
        <w:t xml:space="preserve"> - доля проектов нормативных правовых актов департамента, в которых выявлены риски нарушения антимонопольного законодательства;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нпа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проектов нормативных правовых актов департамента, в которых данным органом выявлены риски нарушения антимонопольного законодательства (в отчетном периоде);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департамента, в которых антимонопольным органом выявлены нарушения антимонопольного законодательства (в отчетном периоде).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отчетном периоде в нормативных правовых актах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были выявлены нарушения антимонопольного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расчет по указанной формуле не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Показателю присваивается максимальный </w:t>
      </w:r>
      <w:r>
        <w:rPr>
          <w:rFonts w:ascii="Times New Roman" w:hAnsi="Times New Roman" w:cs="Times New Roman"/>
          <w:sz w:val="24"/>
          <w:szCs w:val="24"/>
        </w:rPr>
        <w:t xml:space="preserve">коэффициент.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highlight w:val="yellow"/>
        </w:rPr>
      </w:r>
      <w:r/>
    </w:p>
    <w:p>
      <w:pPr>
        <w:pStyle w:val="569"/>
        <w:ind w:left="-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уполномоченного подразделения департамента рассчитываются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КПЭ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сотрудников департамента, в отношении которых были проведены обучающие мероприятия по антимонопольному законодательству и антимонопольному комплаенсу, </w:t>
      </w:r>
      <w:r>
        <w:rPr>
          <w:rFonts w:ascii="Times New Roman" w:hAnsi="Times New Roman" w:cs="Times New Roman"/>
          <w:sz w:val="24"/>
          <w:szCs w:val="24"/>
        </w:rPr>
        <w:t xml:space="preserve">который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КС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КС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общ</w:t>
      </w:r>
      <w:r>
        <w:rPr>
          <w:rFonts w:ascii="Times New Roman" w:hAnsi="Times New Roman" w:cs="Times New Roman"/>
          <w:sz w:val="24"/>
          <w:szCs w:val="24"/>
        </w:rPr>
        <w:t xml:space="preserve">, где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- доля сотрудников департамента, с которыми были проведены обучающие мероприятия по антимонопольному законодательству и антимонопольному комплаенсу;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сотрудников департамента, с которыми были проведены обучающие мероприятия по антимонопольному законодательству и антимонопольному комплаенсу;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общ</w:t>
      </w:r>
      <w:r>
        <w:rPr>
          <w:rFonts w:ascii="Times New Roman" w:hAnsi="Times New Roman" w:cs="Times New Roman"/>
          <w:sz w:val="24"/>
          <w:szCs w:val="24"/>
        </w:rPr>
        <w:t xml:space="preserve"> - общее количество сотрудников департамента, чьи должностные обязанности предусматривают выполнение функций, связанных с рисками нарушения антимонопольного законодательства.</w:t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highlight w:val="yellow"/>
        </w:rPr>
      </w:r>
      <w:r/>
    </w:p>
    <w:p>
      <w:pPr>
        <w:pStyle w:val="572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</w:rPr>
        <w:t xml:space="preserve">Поскольку в отчетном периоде в нормативных правовых актах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были выявлены нарушения антимонопольного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расчет по указанной формуле не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Показателю присваивается максимальный </w:t>
      </w:r>
      <w:r>
        <w:rPr>
          <w:rFonts w:ascii="Times New Roman" w:hAnsi="Times New Roman" w:cs="Times New Roman"/>
          <w:sz w:val="24"/>
          <w:szCs w:val="24"/>
        </w:rPr>
        <w:t xml:space="preserve">коэффициент.</w:t>
      </w:r>
      <w:r>
        <w:rPr>
          <w:highlight w:val="yellow"/>
        </w:rPr>
      </w:r>
      <w:r/>
    </w:p>
    <w:p>
      <w:pPr>
        <w:pStyle w:val="572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/>
    </w:p>
    <w:p>
      <w:pPr>
        <w:pStyle w:val="572"/>
        <w:ind w:left="-567" w:firstLine="709"/>
        <w:jc w:val="both"/>
        <w:rPr>
          <w:rStyle w:val="57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анализа рассчитанного </w:t>
      </w:r>
      <w:r>
        <w:rPr>
          <w:rFonts w:ascii="Times New Roman" w:hAnsi="Times New Roman" w:cs="Times New Roman"/>
          <w:sz w:val="24"/>
          <w:szCs w:val="24"/>
        </w:rPr>
        <w:t xml:space="preserve">КПЭ</w:t>
      </w:r>
      <w:r>
        <w:rPr>
          <w:rFonts w:ascii="Times New Roman" w:hAnsi="Times New Roman" w:cs="Times New Roman"/>
          <w:sz w:val="24"/>
          <w:szCs w:val="24"/>
        </w:rPr>
        <w:t xml:space="preserve"> для департамента в целом и для юридического отдела департамента,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</w:t>
      </w:r>
      <w:r>
        <w:rPr>
          <w:rStyle w:val="570"/>
        </w:rPr>
        <w:t xml:space="preserve"> система антимонопольного комплаенса в департаменте государственного регулирования цен и тарифов Костромской области </w:t>
      </w:r>
      <w:r>
        <w:rPr>
          <w:rStyle w:val="570"/>
        </w:rPr>
        <w:t xml:space="preserve">в 2020 году </w:t>
      </w:r>
      <w:r>
        <w:rPr>
          <w:rStyle w:val="570"/>
        </w:rPr>
        <w:t xml:space="preserve">функционир</w:t>
      </w:r>
      <w:r>
        <w:rPr>
          <w:rStyle w:val="570"/>
        </w:rPr>
        <w:t xml:space="preserve">овала</w:t>
      </w:r>
      <w:r>
        <w:rPr>
          <w:rStyle w:val="570"/>
        </w:rPr>
        <w:t xml:space="preserve"> эффективно.</w:t>
      </w:r>
      <w:r/>
    </w:p>
    <w:p>
      <w:pPr>
        <w:pStyle w:val="57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7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5"/>
    <w:next w:val="565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6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5"/>
    <w:next w:val="565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6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5"/>
    <w:next w:val="565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6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5"/>
    <w:next w:val="565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6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6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6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5"/>
    <w:next w:val="565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6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6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5"/>
    <w:next w:val="565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6"/>
    <w:link w:val="411"/>
    <w:uiPriority w:val="10"/>
    <w:rPr>
      <w:sz w:val="48"/>
      <w:szCs w:val="48"/>
    </w:rPr>
  </w:style>
  <w:style w:type="paragraph" w:styleId="413">
    <w:name w:val="Subtitle"/>
    <w:basedOn w:val="565"/>
    <w:next w:val="565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6"/>
    <w:link w:val="413"/>
    <w:uiPriority w:val="11"/>
    <w:rPr>
      <w:sz w:val="24"/>
      <w:szCs w:val="24"/>
    </w:rPr>
  </w:style>
  <w:style w:type="paragraph" w:styleId="415">
    <w:name w:val="Quote"/>
    <w:basedOn w:val="565"/>
    <w:next w:val="565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5"/>
    <w:next w:val="565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5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6"/>
    <w:link w:val="419"/>
    <w:uiPriority w:val="99"/>
  </w:style>
  <w:style w:type="paragraph" w:styleId="421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6"/>
    <w:link w:val="421"/>
    <w:uiPriority w:val="99"/>
  </w:style>
  <w:style w:type="paragraph" w:styleId="423">
    <w:name w:val="Caption"/>
    <w:basedOn w:val="565"/>
    <w:next w:val="5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4">
    <w:name w:val="Caption Char"/>
    <w:basedOn w:val="423"/>
    <w:link w:val="421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List Paragraph"/>
    <w:basedOn w:val="565"/>
    <w:qFormat/>
    <w:uiPriority w:val="34"/>
    <w:pPr>
      <w:contextualSpacing w:val="true"/>
      <w:ind w:left="720"/>
    </w:pPr>
  </w:style>
  <w:style w:type="character" w:styleId="570" w:customStyle="1">
    <w:name w:val="Font Style15"/>
    <w:basedOn w:val="566"/>
    <w:uiPriority w:val="99"/>
    <w:rPr>
      <w:rFonts w:ascii="Times New Roman" w:hAnsi="Times New Roman" w:cs="Times New Roman"/>
      <w:sz w:val="24"/>
      <w:szCs w:val="24"/>
    </w:rPr>
  </w:style>
  <w:style w:type="paragraph" w:styleId="571" w:customStyle="1">
    <w:name w:val="Style6"/>
    <w:basedOn w:val="565"/>
    <w:uiPriority w:val="99"/>
    <w:rPr>
      <w:rFonts w:ascii="Times New Roman" w:hAnsi="Times New Roman" w:cs="Times New Roman"/>
      <w:sz w:val="24"/>
      <w:szCs w:val="24"/>
    </w:rPr>
    <w:pPr>
      <w:ind w:firstLine="566"/>
      <w:jc w:val="both"/>
      <w:spacing w:lineRule="exact" w:line="328" w:after="0"/>
      <w:widowControl w:val="off"/>
    </w:pPr>
  </w:style>
  <w:style w:type="paragraph" w:styleId="572" w:customStyle="1">
    <w:name w:val="ConsPlusNormal"/>
    <w:rPr>
      <w:rFonts w:ascii="Calibri" w:hAnsi="Calibri" w:cs="Calibri" w:eastAsia="Times New Roman"/>
      <w:sz w:val="20"/>
      <w:szCs w:val="20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Департамент ГРЦиТ КО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А.В.</dc:creator>
  <cp:keywords/>
  <dc:description/>
  <cp:revision>74</cp:revision>
  <dcterms:created xsi:type="dcterms:W3CDTF">2020-01-27T11:23:00Z</dcterms:created>
  <dcterms:modified xsi:type="dcterms:W3CDTF">2021-02-19T08:11:44Z</dcterms:modified>
</cp:coreProperties>
</file>